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13"/>
      <w:bookmarkStart w:id="4" w:name="OLE_LINK33"/>
      <w:bookmarkStart w:id="5" w:name="OLE_LINK34"/>
      <w:r>
        <w:rPr>
          <w:rFonts w:hint="eastAsia" w:ascii="Arial" w:hAnsi="Arial" w:eastAsia="宋体"/>
          <w:b/>
          <w:lang w:eastAsia="ja-JP"/>
        </w:rPr>
        <w:t>3GPP TSG RAN WG1 #</w:t>
      </w:r>
      <w:r>
        <w:rPr>
          <w:rFonts w:hint="eastAsia" w:ascii="Arial" w:hAnsi="Arial" w:eastAsia="宋体"/>
          <w:b/>
        </w:rPr>
        <w:t xml:space="preserve">102-e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w:t>
      </w:r>
      <w:r>
        <w:rPr>
          <w:rFonts w:hint="eastAsia" w:ascii="Arial" w:hAnsi="Arial" w:eastAsia="宋体"/>
          <w:b/>
        </w:rPr>
        <w:t>2005458</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August 17</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28</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20</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the Rel-17 WID of further enhancements on MIMO for NR is approved [1]. In the approved WID, a particular point is </w:t>
      </w:r>
      <w:r>
        <w:rPr>
          <w:rFonts w:hint="eastAsia" w:ascii="Times New Roman" w:hAnsi="Times New Roman"/>
          <w:sz w:val="20"/>
          <w:szCs w:val="20"/>
        </w:rPr>
        <w:t>enhancement to HST-SFN deployment</w:t>
      </w:r>
      <w:r>
        <w:rPr>
          <w:rFonts w:hint="eastAsia" w:ascii="Times New Roman" w:hAnsi="Times New Roman"/>
          <w:sz w:val="20"/>
          <w:szCs w:val="20"/>
          <w:lang w:val="en-GB"/>
        </w:rPr>
        <w:t>, targeting both FR1 and FR2. The detail is given as follows.</w:t>
      </w:r>
    </w:p>
    <w:tbl>
      <w:tblPr>
        <w:tblStyle w:val="3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6" w:type="dxa"/>
          </w:tcPr>
          <w:p>
            <w:pPr>
              <w:pStyle w:val="96"/>
              <w:snapToGrid w:val="0"/>
              <w:spacing w:after="0"/>
              <w:ind w:left="0" w:leftChars="0"/>
              <w:jc w:val="both"/>
              <w:rPr>
                <w:rFonts w:ascii="Times New Roman" w:hAnsi="Times New Roman"/>
                <w:i/>
                <w:iCs/>
                <w:sz w:val="20"/>
                <w:szCs w:val="20"/>
              </w:rPr>
            </w:pPr>
            <w:r>
              <w:rPr>
                <w:rFonts w:ascii="Times New Roman" w:hAnsi="Times New Roman"/>
                <w:i/>
                <w:iCs/>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800" w:leftChars="0"/>
              <w:jc w:val="both"/>
              <w:rPr>
                <w:rFonts w:ascii="Times New Roman" w:hAnsi="Times New Roman"/>
                <w:i/>
                <w:iCs/>
                <w:sz w:val="20"/>
                <w:szCs w:val="20"/>
              </w:rPr>
            </w:pPr>
            <w:r>
              <w:rPr>
                <w:rFonts w:ascii="Times New Roman" w:hAnsi="Times New Roman"/>
                <w:i/>
                <w:iCs/>
                <w:sz w:val="20"/>
                <w:szCs w:val="20"/>
              </w:rPr>
              <w:t>Enhancement to support HST-SFN deployment scenario:</w:t>
            </w:r>
          </w:p>
          <w:p>
            <w:pPr>
              <w:pStyle w:val="96"/>
              <w:numPr>
                <w:ilvl w:val="2"/>
                <w:numId w:val="3"/>
              </w:numPr>
              <w:snapToGrid w:val="0"/>
              <w:spacing w:after="0"/>
              <w:ind w:left="1060"/>
              <w:jc w:val="both"/>
              <w:rPr>
                <w:rFonts w:ascii="Times New Roman" w:hAnsi="Times New Roman"/>
                <w:i/>
                <w:iCs/>
                <w:sz w:val="20"/>
                <w:szCs w:val="20"/>
              </w:rPr>
            </w:pPr>
            <w:r>
              <w:rPr>
                <w:rFonts w:ascii="Times New Roman" w:hAnsi="Times New Roman"/>
                <w:i/>
                <w:iCs/>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i/>
                <w:iCs/>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proposals to support enhancement for HST-SFN deployment. </w:t>
      </w:r>
    </w:p>
    <w:p>
      <w:pPr>
        <w:pStyle w:val="2"/>
        <w:snapToGrid w:val="0"/>
        <w:spacing w:before="180" w:beforeLines="50" w:after="180" w:afterLines="50"/>
        <w:ind w:left="431" w:hanging="431"/>
        <w:rPr>
          <w:lang w:val="en-US"/>
        </w:rPr>
      </w:pPr>
      <w:r>
        <w:rPr>
          <w:sz w:val="28"/>
          <w:lang w:val="en-US"/>
        </w:rPr>
        <w:t>Discussion</w:t>
      </w:r>
    </w:p>
    <w:p>
      <w:pPr>
        <w:snapToGrid w:val="0"/>
        <w:spacing w:line="240" w:lineRule="auto"/>
        <w:jc w:val="both"/>
        <w:rPr>
          <w:rFonts w:ascii="Times New Roman" w:hAnsi="Times New Roman"/>
          <w:sz w:val="20"/>
          <w:szCs w:val="20"/>
        </w:rPr>
      </w:pPr>
      <w:r>
        <w:rPr>
          <w:rFonts w:hint="eastAsia" w:ascii="Times New Roman" w:hAnsi="Times New Roman"/>
          <w:sz w:val="20"/>
          <w:szCs w:val="20"/>
        </w:rPr>
        <w:t>SFN based MTRP is a very typical solution to enhance transmission reliability in HST scenario, where multiple TRPs transmit the same data to a UE based on the same DMRS port(s). Based on Rel-15/16 specification, one effective TRS can be configured to UE in order to implement SFN based solution in HST scenario. The effective TRS can be transmitted by both TRPs as shown in Figure 1. Assuming the center frequency is</w:t>
      </w:r>
      <w:r>
        <w:rPr>
          <w:rFonts w:hint="eastAsia" w:ascii="Times New Roman" w:hAnsi="Times New Roman"/>
          <w:position w:val="-12"/>
          <w:sz w:val="20"/>
          <w:szCs w:val="20"/>
        </w:rPr>
        <w:object>
          <v:shape id="_x0000_i1025" o:spt="75" type="#_x0000_t75" style="height:18.1pt;width:13.1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Times New Roman" w:hAnsi="Times New Roman"/>
          <w:sz w:val="20"/>
          <w:szCs w:val="20"/>
        </w:rPr>
        <w:t xml:space="preserve">, the frequency offset between UE and TRP0 caused by Doppler impact is </w:t>
      </w:r>
      <w:r>
        <w:rPr>
          <w:rFonts w:hint="eastAsia" w:ascii="Times New Roman" w:hAnsi="Times New Roman"/>
          <w:position w:val="-10"/>
          <w:sz w:val="20"/>
          <w:szCs w:val="20"/>
        </w:rPr>
        <w:object>
          <v:shape id="_x0000_i1026" o:spt="75" type="#_x0000_t75" style="height:15pt;width:16.9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sz w:val="20"/>
          <w:szCs w:val="20"/>
        </w:rPr>
        <w:t xml:space="preserve">, and the frequency offset between UE and TRP1 is </w:t>
      </w:r>
      <w:r>
        <w:rPr>
          <w:rFonts w:hint="eastAsia" w:ascii="Times New Roman" w:hAnsi="Times New Roman"/>
          <w:position w:val="-10"/>
          <w:sz w:val="20"/>
          <w:szCs w:val="20"/>
        </w:rPr>
        <w:object>
          <v:shape id="_x0000_i1027" o:spt="75" type="#_x0000_t75" style="height:15pt;width:16.1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sz w:val="20"/>
          <w:szCs w:val="20"/>
        </w:rPr>
        <w:t xml:space="preserve">. Since both TRPs transmit TRS on the same TRS resources, UE can only estimate an effective frequency offset </w:t>
      </w:r>
      <w:r>
        <w:rPr>
          <w:position w:val="-10"/>
        </w:rPr>
        <w:object>
          <v:shape id="_x0000_i1028" o:spt="75" type="#_x0000_t75" style="height:18.1pt;width:1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Times New Roman" w:hAnsi="Times New Roman"/>
          <w:sz w:val="20"/>
          <w:szCs w:val="20"/>
        </w:rPr>
        <w:t xml:space="preserve"> . Because directions from UE to two TRPs may be opposite, </w:t>
      </w:r>
      <w:r>
        <w:rPr>
          <w:rFonts w:hint="eastAsia" w:ascii="Times New Roman" w:hAnsi="Times New Roman"/>
          <w:position w:val="-10"/>
          <w:sz w:val="20"/>
          <w:szCs w:val="20"/>
        </w:rPr>
        <w:object>
          <v:shape id="_x0000_i1029" o:spt="75" type="#_x0000_t75" style="height:15pt;width:16.9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30" o:spt="75" type="#_x0000_t75" style="height:15pt;width:16.1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Times New Roman" w:hAnsi="Times New Roman"/>
          <w:sz w:val="20"/>
          <w:szCs w:val="20"/>
        </w:rPr>
        <w:t xml:space="preserve">may be opposite numbers especially when UE is in the middle position between two TRPs. Thus, the final estimated frequency offset </w:t>
      </w:r>
      <w:r>
        <w:rPr>
          <w:rFonts w:hint="eastAsia" w:ascii="Times New Roman" w:hAnsi="Times New Roman"/>
          <w:position w:val="-10"/>
          <w:sz w:val="20"/>
          <w:szCs w:val="20"/>
        </w:rPr>
        <w:object>
          <v:shape id="_x0000_i1031" o:spt="75" type="#_x0000_t75" style="height:18.1pt;width:60.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Times New Roman" w:hAnsi="Times New Roman"/>
          <w:sz w:val="20"/>
          <w:szCs w:val="20"/>
        </w:rPr>
        <w:t xml:space="preserve">could be zero, e.g. </w:t>
      </w:r>
      <w:r>
        <w:rPr>
          <w:rFonts w:hint="eastAsia" w:ascii="Times New Roman" w:hAnsi="Times New Roman"/>
          <w:position w:val="-10"/>
          <w:sz w:val="20"/>
          <w:szCs w:val="20"/>
        </w:rPr>
        <w:object>
          <v:shape id="_x0000_i1032" o:spt="75" type="#_x0000_t75" style="height:15pt;width:16.9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ascii="Times New Roman" w:hAnsi="Times New Roman"/>
          <w:sz w:val="20"/>
          <w:szCs w:val="20"/>
        </w:rPr>
        <w:t xml:space="preserve">= 700 Hz, </w:t>
      </w:r>
      <w:r>
        <w:rPr>
          <w:rFonts w:hint="eastAsia" w:ascii="Times New Roman" w:hAnsi="Times New Roman"/>
          <w:position w:val="-10"/>
          <w:sz w:val="20"/>
          <w:szCs w:val="20"/>
        </w:rPr>
        <w:object>
          <v:shape id="_x0000_i1033" o:spt="75" type="#_x0000_t75" style="height:15pt;width:16.9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Times New Roman" w:hAnsi="Times New Roman"/>
          <w:sz w:val="20"/>
          <w:szCs w:val="20"/>
        </w:rPr>
        <w:t xml:space="preserve"> = -700Hz. Consequently, one effective TRS may provide incorrect frequency offset estimation and further cause performance degradation.</w:t>
      </w:r>
      <w:r>
        <w:rPr>
          <w:rFonts w:hint="eastAsia"/>
          <w:position w:val="-12"/>
        </w:rPr>
        <w:t xml:space="preserve"> </w:t>
      </w:r>
      <w:r>
        <w:rPr>
          <w:rFonts w:hint="eastAsia" w:ascii="Times New Roman" w:hAnsi="Times New Roman"/>
          <w:sz w:val="20"/>
          <w:szCs w:val="20"/>
        </w:rPr>
        <w:t xml:space="preserve">    </w:t>
      </w:r>
    </w:p>
    <w:p>
      <w:pPr>
        <w:snapToGrid w:val="0"/>
        <w:spacing w:line="240" w:lineRule="auto"/>
        <w:jc w:val="center"/>
      </w:pPr>
      <w:r>
        <w:drawing>
          <wp:inline distT="0" distB="0" distL="114300" distR="114300">
            <wp:extent cx="4420235" cy="1777365"/>
            <wp:effectExtent l="0" t="0" r="18415" b="13335"/>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pic:cNvPicPr>
                      <a:picLocks noChangeAspect="1"/>
                    </pic:cNvPicPr>
                  </pic:nvPicPr>
                  <pic:blipFill>
                    <a:blip r:embed="rId23"/>
                    <a:stretch>
                      <a:fillRect/>
                    </a:stretch>
                  </pic:blipFill>
                  <pic:spPr>
                    <a:xfrm>
                      <a:off x="0" y="0"/>
                      <a:ext cx="4420235" cy="1777365"/>
                    </a:xfrm>
                    <a:prstGeom prst="rect">
                      <a:avLst/>
                    </a:prstGeom>
                    <a:noFill/>
                    <a:ln>
                      <a:noFill/>
                    </a:ln>
                  </pic:spPr>
                </pic:pic>
              </a:graphicData>
            </a:graphic>
          </wp:inline>
        </w:drawing>
      </w:r>
    </w:p>
    <w:p>
      <w:pPr>
        <w:snapToGrid w:val="0"/>
        <w:jc w:val="center"/>
      </w:pPr>
      <w:r>
        <w:rPr>
          <w:rFonts w:hint="eastAsia" w:ascii="Times New Roman" w:hAnsi="Times New Roman"/>
          <w:sz w:val="20"/>
          <w:szCs w:val="20"/>
        </w:rPr>
        <w:t>Figure 1. Single QCL assumption based on Rel-15/16 SFN based MTRP</w:t>
      </w:r>
    </w:p>
    <w:p>
      <w:pPr>
        <w:snapToGrid w:val="0"/>
        <w:spacing w:line="240" w:lineRule="auto"/>
        <w:jc w:val="both"/>
        <w:rPr>
          <w:rFonts w:ascii="Times New Roman" w:hAnsi="Times New Roman"/>
          <w:sz w:val="20"/>
          <w:szCs w:val="20"/>
        </w:rPr>
      </w:pPr>
      <w:r>
        <w:rPr>
          <w:rFonts w:hint="eastAsia" w:ascii="Times New Roman" w:hAnsi="Times New Roman"/>
          <w:sz w:val="20"/>
          <w:szCs w:val="20"/>
        </w:rPr>
        <w:t>In order to solve this problem, two candidate solutions from UE side and gNB side respectively can be considered as shown in the two sub-bullets of WID.</w:t>
      </w:r>
    </w:p>
    <w:p>
      <w:pPr>
        <w:pStyle w:val="3"/>
        <w:numPr>
          <w:ilvl w:val="255"/>
          <w:numId w:val="0"/>
        </w:numPr>
        <w:spacing w:before="180" w:beforeLines="50" w:after="180" w:afterLines="50"/>
        <w:rPr>
          <w:rFonts w:ascii="Arial" w:hAnsi="Arial" w:cs="Arial"/>
          <w:sz w:val="24"/>
          <w:szCs w:val="24"/>
          <w:lang w:val="en-US"/>
        </w:rPr>
      </w:pPr>
      <w:r>
        <w:rPr>
          <w:rFonts w:ascii="Arial" w:hAnsi="Arial" w:cs="Arial"/>
          <w:sz w:val="24"/>
          <w:szCs w:val="24"/>
          <w:lang w:val="en-US"/>
        </w:rPr>
        <w:t>Solution 1: separate frequency offset estimations at UE side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the first solution, as described in the first sub-bullets of WID, two TCI states corresponding to two TRS resource sets respectively can be configured to the same DMRS port(s). Then, UE can estimate frequency offset </w:t>
      </w:r>
      <w:r>
        <w:rPr>
          <w:rFonts w:hint="eastAsia" w:ascii="Times New Roman" w:hAnsi="Times New Roman"/>
          <w:position w:val="-10"/>
          <w:sz w:val="20"/>
          <w:szCs w:val="20"/>
        </w:rPr>
        <w:object>
          <v:shape id="_x0000_i1034" o:spt="75" type="#_x0000_t75" style="height:15pt;width:16.9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35" o:spt="75" type="#_x0000_t75" style="height:15pt;width:16.1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ascii="Times New Roman" w:hAnsi="Times New Roman"/>
          <w:sz w:val="20"/>
          <w:szCs w:val="20"/>
        </w:rPr>
        <w:t xml:space="preserve"> separately. Thus, DMRS channel estimation coefficients can be based on </w:t>
      </w:r>
      <w:r>
        <w:rPr>
          <w:rFonts w:hint="eastAsia" w:ascii="Times New Roman" w:hAnsi="Times New Roman"/>
          <w:position w:val="-10"/>
          <w:sz w:val="20"/>
          <w:szCs w:val="20"/>
        </w:rPr>
        <w:object>
          <v:shape id="_x0000_i1036" o:spt="75" type="#_x0000_t75" style="height:18.1pt;width:16.9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ascii="Times New Roman" w:hAnsi="Times New Roman"/>
          <w:sz w:val="20"/>
          <w:szCs w:val="20"/>
        </w:rPr>
        <w:t xml:space="preserve"> and </w:t>
      </w:r>
      <w:r>
        <w:rPr>
          <w:rFonts w:hint="eastAsia" w:ascii="Times New Roman" w:hAnsi="Times New Roman"/>
          <w:position w:val="-10"/>
          <w:sz w:val="20"/>
          <w:szCs w:val="20"/>
        </w:rPr>
        <w:object>
          <v:shape id="_x0000_i1037" o:spt="75" type="#_x0000_t75" style="height:18.1pt;width:16.15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ascii="Times New Roman" w:hAnsi="Times New Roman"/>
          <w:sz w:val="20"/>
          <w:szCs w:val="20"/>
        </w:rPr>
        <w:t xml:space="preserve"> as shown in Figure 2. Specifically, time domain channel correlation matrix should consider both </w:t>
      </w:r>
      <w:r>
        <w:rPr>
          <w:rFonts w:hint="eastAsia" w:ascii="Times New Roman" w:hAnsi="Times New Roman"/>
          <w:position w:val="-10"/>
          <w:sz w:val="20"/>
          <w:szCs w:val="20"/>
        </w:rPr>
        <w:object>
          <v:shape id="_x0000_i1038" o:spt="75" type="#_x0000_t75" style="height:18.1pt;width:16.95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ascii="Times New Roman" w:hAnsi="Times New Roman"/>
          <w:sz w:val="20"/>
          <w:szCs w:val="20"/>
        </w:rPr>
        <w:t>and</w:t>
      </w:r>
      <w:r>
        <w:rPr>
          <w:rFonts w:hint="eastAsia" w:ascii="Times New Roman" w:hAnsi="Times New Roman"/>
          <w:position w:val="-10"/>
          <w:sz w:val="20"/>
          <w:szCs w:val="20"/>
        </w:rPr>
        <w:object>
          <v:shape id="_x0000_i1039" o:spt="75" type="#_x0000_t75" style="height:18.1pt;width:16.1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rFonts w:hint="eastAsia" w:ascii="Times New Roman" w:hAnsi="Times New Roman"/>
          <w:sz w:val="20"/>
          <w:szCs w:val="20"/>
        </w:rPr>
        <w:t>.</w:t>
      </w:r>
      <w:r>
        <w:rPr>
          <w:rFonts w:hint="eastAsia"/>
        </w:rPr>
        <w:t xml:space="preserve"> </w:t>
      </w:r>
      <w:r>
        <w:rPr>
          <w:rFonts w:ascii="Times New Roman" w:hAnsi="Times New Roman"/>
          <w:sz w:val="20"/>
          <w:szCs w:val="20"/>
        </w:rPr>
        <w:t>The</w:t>
      </w:r>
      <w:r>
        <w:rPr>
          <w:rFonts w:hint="eastAsia" w:ascii="Times New Roman" w:hAnsi="Times New Roman"/>
          <w:sz w:val="20"/>
          <w:szCs w:val="20"/>
        </w:rPr>
        <w:t xml:space="preserve"> correlation matrix can be calculated as </w:t>
      </w:r>
      <w:bookmarkStart w:id="6" w:name="OLE_LINK4"/>
      <w:r>
        <w:rPr>
          <w:rFonts w:hint="eastAsia" w:ascii="Times New Roman" w:hAnsi="Times New Roman"/>
          <w:position w:val="-10"/>
          <w:sz w:val="20"/>
          <w:szCs w:val="20"/>
        </w:rPr>
        <w:object>
          <v:shape id="_x0000_i1040" o:spt="75" type="#_x0000_t75" style="height:15pt;width:85.1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bookmarkEnd w:id="6"/>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 xml:space="preserve">where  </w:t>
      </w:r>
      <w:bookmarkStart w:id="7" w:name="OLE_LINK5"/>
      <w:r>
        <w:rPr>
          <w:rFonts w:hint="eastAsia" w:ascii="Times New Roman" w:hAnsi="Times New Roman"/>
          <w:position w:val="-10"/>
          <w:sz w:val="20"/>
          <w:szCs w:val="20"/>
        </w:rPr>
        <w:object>
          <v:shape id="_x0000_i1041" o:spt="75" type="#_x0000_t75" style="height:15pt;width:13.8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bookmarkEnd w:id="7"/>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42" o:spt="75" type="#_x0000_t75" style="height:15pt;width:13.1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rPr>
          <w:rFonts w:hint="eastAsia" w:ascii="Times New Roman" w:hAnsi="Times New Roman"/>
          <w:sz w:val="20"/>
          <w:szCs w:val="20"/>
        </w:rPr>
        <w:t xml:space="preserve">are the correlation matrix calculated based on </w:t>
      </w:r>
      <w:r>
        <w:rPr>
          <w:rFonts w:hint="eastAsia" w:ascii="Times New Roman" w:hAnsi="Times New Roman"/>
          <w:position w:val="-10"/>
          <w:sz w:val="20"/>
          <w:szCs w:val="20"/>
        </w:rPr>
        <w:object>
          <v:shape id="_x0000_i1043" o:spt="75" type="#_x0000_t75" style="height:18.1pt;width:16.95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2">
            <o:LockedField>false</o:LockedField>
          </o:OLEObject>
        </w:object>
      </w:r>
      <w:r>
        <w:rPr>
          <w:rFonts w:hint="eastAsia" w:ascii="Times New Roman" w:hAnsi="Times New Roman"/>
          <w:sz w:val="20"/>
          <w:szCs w:val="20"/>
        </w:rPr>
        <w:t xml:space="preserve"> and </w:t>
      </w:r>
      <w:r>
        <w:rPr>
          <w:rFonts w:hint="eastAsia" w:ascii="Times New Roman" w:hAnsi="Times New Roman"/>
          <w:position w:val="-10"/>
          <w:sz w:val="20"/>
          <w:szCs w:val="20"/>
        </w:rPr>
        <w:object>
          <v:shape id="_x0000_i1044" o:spt="75" type="#_x0000_t75" style="height:18.1pt;width:16.15pt;" o:ole="t" filled="f" o:preferrelative="t" stroked="f" coordsize="21600,21600">
            <v:path/>
            <v:fill on="f" focussize="0,0"/>
            <v:stroke on="f" joinstyle="miter"/>
            <v:imagedata r:id="rId45" o:title=""/>
            <o:lock v:ext="edit" aspectratio="t"/>
            <w10:wrap type="none"/>
            <w10:anchorlock/>
          </v:shape>
          <o:OLEObject Type="Embed" ProgID="Equation.3" ShapeID="_x0000_i1044" DrawAspect="Content" ObjectID="_1468075744" r:id="rId44">
            <o:LockedField>false</o:LockedField>
          </o:OLEObject>
        </w:object>
      </w:r>
      <w:r>
        <w:rPr>
          <w:rFonts w:ascii="Times New Roman" w:hAnsi="Times New Roman"/>
          <w:position w:val="0"/>
          <w:sz w:val="20"/>
          <w:szCs w:val="20"/>
        </w:rPr>
        <w:t>respectively</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45" o:spt="75" type="#_x0000_t75" style="height:15pt;width:13.1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5" r:id="rId46">
            <o:LockedField>false</o:LockedField>
          </o:OLEObject>
        </w:objec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46" o:spt="75" type="#_x0000_t75" style="height:15pt;width:11.15pt;" o:ole="t" filled="f" o:preferrelative="t" stroked="f" coordsize="21600,21600">
            <v:path/>
            <v:fill on="f" focussize="0,0"/>
            <v:stroke on="f" joinstyle="miter"/>
            <v:imagedata r:id="rId49" o:title=""/>
            <o:lock v:ext="edit" aspectratio="t"/>
            <w10:wrap type="none"/>
            <w10:anchorlock/>
          </v:shape>
          <o:OLEObject Type="Embed" ProgID="Equation.3" ShapeID="_x0000_i1046" DrawAspect="Content" ObjectID="_1468075746" r:id="rId48">
            <o:LockedField>false</o:LockedField>
          </o:OLEObject>
        </w:object>
      </w:r>
      <w:r>
        <w:rPr>
          <w:rFonts w:hint="eastAsia" w:ascii="Times New Roman" w:hAnsi="Times New Roman"/>
          <w:sz w:val="20"/>
          <w:szCs w:val="20"/>
        </w:rPr>
        <w:t>are the receiving power</w:t>
      </w:r>
      <w:r>
        <w:rPr>
          <w:rFonts w:hint="eastAsia" w:ascii="Times New Roman" w:hAnsi="Times New Roman"/>
          <w:sz w:val="20"/>
          <w:szCs w:val="20"/>
          <w:lang w:val="en-US" w:eastAsia="zh-CN"/>
        </w:rPr>
        <w:t xml:space="preserve"> ratios </w:t>
      </w:r>
      <w:r>
        <w:rPr>
          <w:rFonts w:hint="eastAsia" w:ascii="Times New Roman" w:hAnsi="Times New Roman"/>
          <w:sz w:val="20"/>
          <w:szCs w:val="20"/>
        </w:rPr>
        <w:t>of the two TRS resource sets respectively.</w:t>
      </w:r>
    </w:p>
    <w:p>
      <w:pPr>
        <w:snapToGrid w:val="0"/>
        <w:spacing w:line="240" w:lineRule="auto"/>
        <w:jc w:val="center"/>
      </w:pPr>
      <w:r>
        <w:drawing>
          <wp:inline distT="0" distB="0" distL="114300" distR="114300">
            <wp:extent cx="4415155" cy="1842135"/>
            <wp:effectExtent l="0" t="0" r="4445" b="5715"/>
            <wp:docPr id="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8"/>
                    <pic:cNvPicPr>
                      <a:picLocks noChangeAspect="1"/>
                    </pic:cNvPicPr>
                  </pic:nvPicPr>
                  <pic:blipFill>
                    <a:blip r:embed="rId50"/>
                    <a:stretch>
                      <a:fillRect/>
                    </a:stretch>
                  </pic:blipFill>
                  <pic:spPr>
                    <a:xfrm>
                      <a:off x="0" y="0"/>
                      <a:ext cx="4415155" cy="1842135"/>
                    </a:xfrm>
                    <a:prstGeom prst="rect">
                      <a:avLst/>
                    </a:prstGeom>
                    <a:noFill/>
                    <a:ln>
                      <a:noFill/>
                    </a:ln>
                  </pic:spPr>
                </pic:pic>
              </a:graphicData>
            </a:graphic>
          </wp:inline>
        </w:drawing>
      </w:r>
    </w:p>
    <w:p>
      <w:pPr>
        <w:snapToGrid w:val="0"/>
        <w:spacing w:line="240" w:lineRule="auto"/>
        <w:jc w:val="center"/>
        <w:rPr>
          <w:rFonts w:ascii="Times New Roman" w:hAnsi="Times New Roman"/>
          <w:sz w:val="20"/>
          <w:szCs w:val="20"/>
        </w:rPr>
      </w:pPr>
      <w:r>
        <w:rPr>
          <w:rFonts w:hint="eastAsia" w:ascii="Times New Roman" w:hAnsi="Times New Roman"/>
          <w:sz w:val="20"/>
          <w:szCs w:val="20"/>
        </w:rPr>
        <w:t>Figure 2. Two QCL assumptions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order to </w:t>
      </w:r>
      <w:r>
        <w:rPr>
          <w:rFonts w:ascii="Times New Roman" w:hAnsi="Times New Roman"/>
          <w:sz w:val="20"/>
          <w:szCs w:val="20"/>
        </w:rPr>
        <w:t>evaluate</w:t>
      </w:r>
      <w:r>
        <w:rPr>
          <w:rFonts w:hint="eastAsia" w:ascii="Times New Roman" w:hAnsi="Times New Roman"/>
          <w:sz w:val="20"/>
          <w:szCs w:val="20"/>
        </w:rPr>
        <w:t xml:space="preserve"> the benefit of two QCL assumptions, we provide the simulation comparison between one and two QCL assumptions</w:t>
      </w:r>
      <w:r>
        <w:rPr>
          <w:rFonts w:ascii="Times New Roman" w:hAnsi="Times New Roman"/>
          <w:sz w:val="20"/>
          <w:szCs w:val="20"/>
        </w:rPr>
        <w:t xml:space="preserve"> for the same DMRS port(s)</w:t>
      </w:r>
      <w:r>
        <w:rPr>
          <w:rFonts w:hint="eastAsia" w:ascii="Times New Roman" w:hAnsi="Times New Roman"/>
          <w:sz w:val="20"/>
          <w:szCs w:val="20"/>
        </w:rPr>
        <w:t>. The simulation assumption can be found in the Appendix. Figure 3 shows the throughput on different UE location with the UE</w:t>
      </w:r>
      <w:r>
        <w:rPr>
          <w:rFonts w:ascii="Times New Roman" w:hAnsi="Times New Roman"/>
          <w:sz w:val="20"/>
          <w:szCs w:val="20"/>
        </w:rPr>
        <w:t>’</w:t>
      </w:r>
      <w:r>
        <w:rPr>
          <w:rFonts w:hint="eastAsia" w:ascii="Times New Roman" w:hAnsi="Times New Roman"/>
          <w:sz w:val="20"/>
          <w:szCs w:val="20"/>
        </w:rPr>
        <w:t>s speed 350km/h and 500km/h. Figure 4 shows the throughput with 16QAM and 0.5 code rate when the UE is in the middle of the two T</w:t>
      </w:r>
      <w:bookmarkStart w:id="13" w:name="_GoBack"/>
      <w:r>
        <w:rPr>
          <w:rFonts w:hint="eastAsia" w:ascii="Times New Roman" w:hAnsi="Times New Roman"/>
          <w:sz w:val="20"/>
          <w:szCs w:val="20"/>
        </w:rPr>
        <w:t>R</w:t>
      </w:r>
      <w:r>
        <w:rPr>
          <w:rFonts w:hint="eastAsia" w:ascii="Times New Roman" w:hAnsi="Times New Roman"/>
          <w:sz w:val="20"/>
          <w:szCs w:val="20"/>
          <w:lang w:val="en-US" w:eastAsia="zh-CN"/>
        </w:rPr>
        <w:t>P</w:t>
      </w:r>
      <w:r>
        <w:rPr>
          <w:rFonts w:hint="eastAsia" w:ascii="Times New Roman" w:hAnsi="Times New Roman"/>
          <w:sz w:val="20"/>
          <w:szCs w:val="20"/>
        </w:rPr>
        <w:t>s</w:t>
      </w:r>
      <w:bookmarkEnd w:id="13"/>
      <w:r>
        <w:rPr>
          <w:rFonts w:hint="eastAsia" w:ascii="Times New Roman" w:hAnsi="Times New Roman"/>
          <w:sz w:val="20"/>
          <w:szCs w:val="20"/>
        </w:rPr>
        <w:t>. From the simulation results, it can be found that two QCL assumptions</w:t>
      </w:r>
      <w:r>
        <w:rPr>
          <w:rFonts w:ascii="Times New Roman" w:hAnsi="Times New Roman"/>
          <w:sz w:val="20"/>
          <w:szCs w:val="20"/>
        </w:rPr>
        <w:t xml:space="preserve"> (TCI states)</w:t>
      </w:r>
      <w:r>
        <w:rPr>
          <w:rFonts w:hint="eastAsia" w:ascii="Times New Roman" w:hAnsi="Times New Roman"/>
          <w:sz w:val="20"/>
          <w:szCs w:val="20"/>
        </w:rPr>
        <w:t xml:space="preserve"> </w:t>
      </w:r>
      <w:r>
        <w:rPr>
          <w:rFonts w:ascii="Times New Roman" w:hAnsi="Times New Roman"/>
          <w:sz w:val="20"/>
          <w:szCs w:val="20"/>
        </w:rPr>
        <w:t>achieve</w:t>
      </w:r>
      <w:r>
        <w:rPr>
          <w:rFonts w:hint="eastAsia" w:ascii="Times New Roman" w:hAnsi="Times New Roman"/>
          <w:sz w:val="20"/>
          <w:szCs w:val="20"/>
        </w:rPr>
        <w:t xml:space="preserve"> better performance than one QCL assumption especially when UE is in the middle position of the two TRPs in horizontal domain. That</w:t>
      </w:r>
      <w:r>
        <w:rPr>
          <w:rFonts w:ascii="Times New Roman" w:hAnsi="Times New Roman"/>
          <w:sz w:val="20"/>
          <w:szCs w:val="20"/>
        </w:rPr>
        <w:t>’</w:t>
      </w:r>
      <w:r>
        <w:rPr>
          <w:rFonts w:hint="eastAsia" w:ascii="Times New Roman" w:hAnsi="Times New Roman"/>
          <w:sz w:val="20"/>
          <w:szCs w:val="20"/>
        </w:rPr>
        <w:t>s because more accurate DMRS channel coefficients can be estimated based on the separate TRS resource sets transmitted from the two TRPs.</w:t>
      </w:r>
    </w:p>
    <w:p>
      <w:pPr>
        <w:snapToGrid w:val="0"/>
        <w:spacing w:line="240" w:lineRule="auto"/>
        <w:jc w:val="center"/>
      </w:pPr>
      <w:r>
        <w:drawing>
          <wp:inline distT="0" distB="0" distL="0" distR="0">
            <wp:extent cx="2921635" cy="1683385"/>
            <wp:effectExtent l="0" t="0" r="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2921635" cy="1683385"/>
                    </a:xfrm>
                    <a:prstGeom prst="rect">
                      <a:avLst/>
                    </a:prstGeom>
                    <a:noFill/>
                    <a:ln>
                      <a:noFill/>
                    </a:ln>
                  </pic:spPr>
                </pic:pic>
              </a:graphicData>
            </a:graphic>
          </wp:inline>
        </w:drawing>
      </w:r>
      <w:r>
        <w:drawing>
          <wp:inline distT="0" distB="0" distL="0" distR="0">
            <wp:extent cx="2916555" cy="1680210"/>
            <wp:effectExtent l="0" t="0" r="0" b="152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916555" cy="1680210"/>
                    </a:xfrm>
                    <a:prstGeom prst="rect">
                      <a:avLst/>
                    </a:prstGeom>
                    <a:noFill/>
                    <a:ln>
                      <a:noFill/>
                    </a:ln>
                  </pic:spPr>
                </pic:pic>
              </a:graphicData>
            </a:graphic>
          </wp:inline>
        </w:drawing>
      </w:r>
    </w:p>
    <w:p>
      <w:pPr>
        <w:snapToGrid w:val="0"/>
        <w:spacing w:line="240" w:lineRule="auto"/>
        <w:jc w:val="center"/>
        <w:rPr>
          <w:rFonts w:ascii="Times New Roman" w:hAnsi="Times New Roman" w:eastAsia="宋体"/>
          <w:sz w:val="20"/>
          <w:szCs w:val="20"/>
        </w:rPr>
      </w:pPr>
      <w:r>
        <w:rPr>
          <w:rFonts w:ascii="Times New Roman" w:hAnsi="Times New Roman"/>
          <w:sz w:val="20"/>
          <w:szCs w:val="20"/>
        </w:rPr>
        <w:t>Figure 3.</w:t>
      </w:r>
      <w:r>
        <w:rPr>
          <w:rFonts w:hint="eastAsia" w:ascii="Times New Roman" w:hAnsi="Times New Roman"/>
          <w:sz w:val="20"/>
          <w:szCs w:val="20"/>
        </w:rPr>
        <w:t xml:space="preserve"> </w:t>
      </w:r>
      <w:r>
        <w:rPr>
          <w:rFonts w:ascii="Times New Roman" w:hAnsi="Times New Roman" w:eastAsia="宋体"/>
          <w:sz w:val="20"/>
          <w:szCs w:val="20"/>
        </w:rPr>
        <w:t>S</w:t>
      </w:r>
      <w:r>
        <w:rPr>
          <w:rFonts w:hint="eastAsia" w:ascii="Times New Roman" w:hAnsi="Times New Roman" w:eastAsia="宋体"/>
          <w:sz w:val="20"/>
          <w:szCs w:val="20"/>
        </w:rPr>
        <w:t>imulation results comparison for SNR=30dB based on different UE locations</w:t>
      </w:r>
    </w:p>
    <w:p>
      <w:pPr>
        <w:snapToGrid w:val="0"/>
        <w:spacing w:line="240" w:lineRule="auto"/>
        <w:jc w:val="center"/>
        <w:rPr>
          <w:rFonts w:ascii="Times New Roman" w:hAnsi="Times New Roman" w:eastAsia="宋体"/>
          <w:sz w:val="20"/>
          <w:szCs w:val="20"/>
        </w:rPr>
      </w:pPr>
      <w:r>
        <w:drawing>
          <wp:inline distT="0" distB="0" distL="0" distR="0">
            <wp:extent cx="3053080" cy="1758950"/>
            <wp:effectExtent l="0" t="0" r="0" b="1270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3053080" cy="175895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Figure.4 </w:t>
      </w:r>
      <w:r>
        <w:rPr>
          <w:rFonts w:ascii="Times New Roman" w:hAnsi="Times New Roman" w:eastAsia="宋体"/>
          <w:sz w:val="20"/>
          <w:szCs w:val="20"/>
        </w:rPr>
        <w:t>S</w:t>
      </w:r>
      <w:r>
        <w:rPr>
          <w:rFonts w:hint="eastAsia" w:ascii="Times New Roman" w:hAnsi="Times New Roman" w:eastAsia="宋体"/>
          <w:sz w:val="20"/>
          <w:szCs w:val="20"/>
        </w:rPr>
        <w:t>imulation results comparison with the UE Location in the middle of two TRPs</w:t>
      </w:r>
    </w:p>
    <w:p>
      <w:pPr>
        <w:snapToGrid w:val="0"/>
        <w:jc w:val="both"/>
        <w:rPr>
          <w:rFonts w:ascii="Times New Roman" w:hAnsi="Times New Roman"/>
          <w:b w:val="0"/>
          <w:bCs/>
          <w:i/>
          <w:iCs/>
          <w:sz w:val="20"/>
          <w:szCs w:val="20"/>
        </w:rPr>
      </w:pPr>
      <w:r>
        <w:rPr>
          <w:rFonts w:ascii="Times New Roman" w:hAnsi="Times New Roman"/>
          <w:b/>
          <w:bCs/>
          <w:i/>
          <w:iCs/>
          <w:sz w:val="20"/>
          <w:szCs w:val="20"/>
        </w:rPr>
        <w:t xml:space="preserve">Observation 1: </w:t>
      </w:r>
      <w:r>
        <w:rPr>
          <w:rFonts w:ascii="Times New Roman" w:hAnsi="Times New Roman"/>
          <w:b w:val="0"/>
          <w:bCs/>
          <w:i/>
          <w:iCs/>
          <w:sz w:val="20"/>
          <w:szCs w:val="20"/>
        </w:rPr>
        <w:t>With two QCL assumptions derived from two TRS resource sets for the same DMRS port, significant performance gain can be achieved for high-speed UE in SFN deployment, esp. for UE locations in the middle of the two TRPs.</w:t>
      </w:r>
    </w:p>
    <w:p>
      <w:pPr>
        <w:snapToGrid w:val="0"/>
        <w:jc w:val="both"/>
        <w:rPr>
          <w:rFonts w:ascii="Times New Roman" w:hAnsi="Times New Roman"/>
          <w:sz w:val="20"/>
          <w:szCs w:val="20"/>
        </w:rPr>
      </w:pPr>
      <w:r>
        <w:rPr>
          <w:rFonts w:hint="eastAsia" w:ascii="Times New Roman" w:hAnsi="Times New Roman"/>
          <w:b/>
          <w:bCs/>
          <w:i/>
          <w:iCs/>
          <w:sz w:val="20"/>
          <w:szCs w:val="20"/>
        </w:rPr>
        <w:t xml:space="preserve">Proposal 1: </w:t>
      </w:r>
      <w:r>
        <w:rPr>
          <w:rFonts w:ascii="Times New Roman" w:hAnsi="Times New Roman"/>
          <w:b w:val="0"/>
          <w:bCs/>
          <w:i/>
          <w:iCs/>
          <w:sz w:val="20"/>
          <w:szCs w:val="20"/>
        </w:rPr>
        <w:t xml:space="preserve">Support </w:t>
      </w:r>
      <w:r>
        <w:rPr>
          <w:rFonts w:ascii="Times New Roman" w:hAnsi="Times New Roman"/>
          <w:bCs/>
          <w:i/>
          <w:iCs/>
          <w:sz w:val="20"/>
          <w:szCs w:val="20"/>
        </w:rPr>
        <w:t>t</w:t>
      </w:r>
      <w:r>
        <w:rPr>
          <w:rFonts w:hint="eastAsia" w:ascii="Times New Roman" w:hAnsi="Times New Roman"/>
          <w:b w:val="0"/>
          <w:bCs/>
          <w:i/>
          <w:iCs/>
          <w:sz w:val="20"/>
          <w:szCs w:val="20"/>
        </w:rPr>
        <w:t>wo</w:t>
      </w:r>
      <w:r>
        <w:rPr>
          <w:rFonts w:ascii="Times New Roman" w:hAnsi="Times New Roman"/>
          <w:bCs/>
          <w:i/>
          <w:iCs/>
          <w:sz w:val="20"/>
          <w:szCs w:val="20"/>
        </w:rPr>
        <w:t xml:space="preserve"> TCI states for the same DMRS port(s) </w:t>
      </w:r>
      <w:r>
        <w:rPr>
          <w:rFonts w:hint="eastAsia" w:ascii="Times New Roman" w:hAnsi="Times New Roman"/>
          <w:b w:val="0"/>
          <w:bCs/>
          <w:i/>
          <w:iCs/>
          <w:sz w:val="20"/>
          <w:szCs w:val="20"/>
        </w:rPr>
        <w:t xml:space="preserve">for the </w:t>
      </w:r>
      <w:r>
        <w:rPr>
          <w:rFonts w:ascii="Times New Roman" w:hAnsi="Times New Roman"/>
          <w:i/>
          <w:iCs/>
          <w:sz w:val="20"/>
          <w:szCs w:val="20"/>
        </w:rPr>
        <w:t>HST-SFN deployment scenario</w:t>
      </w:r>
      <w:r>
        <w:rPr>
          <w:rFonts w:ascii="Times New Roman" w:hAnsi="Times New Roman"/>
          <w:bCs/>
          <w:i/>
          <w:iCs/>
          <w:sz w:val="20"/>
          <w:szCs w:val="20"/>
        </w:rPr>
        <w:t>.</w:t>
      </w:r>
    </w:p>
    <w:p>
      <w:pPr>
        <w:pStyle w:val="3"/>
        <w:numPr>
          <w:ilvl w:val="255"/>
          <w:numId w:val="0"/>
        </w:numPr>
        <w:spacing w:before="180" w:beforeLines="50" w:after="180" w:afterLines="50"/>
        <w:rPr>
          <w:sz w:val="24"/>
          <w:szCs w:val="24"/>
          <w:lang w:val="en-US"/>
        </w:rPr>
      </w:pPr>
      <w:r>
        <w:rPr>
          <w:rFonts w:hint="eastAsia"/>
          <w:sz w:val="24"/>
          <w:szCs w:val="24"/>
          <w:lang w:val="en-US"/>
        </w:rPr>
        <w:t>Solution 2: frequency offset pre-compensation at gNB side</w:t>
      </w:r>
    </w:p>
    <w:p>
      <w:pPr>
        <w:snapToGrid w:val="0"/>
        <w:spacing w:line="240" w:lineRule="auto"/>
        <w:jc w:val="both"/>
        <w:rPr>
          <w:rFonts w:ascii="Times New Roman" w:hAnsi="Times New Roman"/>
          <w:sz w:val="20"/>
          <w:szCs w:val="20"/>
        </w:rPr>
      </w:pPr>
      <w:r>
        <w:rPr>
          <w:rFonts w:hint="eastAsia" w:ascii="Times New Roman" w:hAnsi="Times New Roman"/>
          <w:sz w:val="20"/>
          <w:szCs w:val="20"/>
        </w:rPr>
        <w:t>For the second solution, frequency offset pre-compensation is needed at gNB side. As shown in Figure 5, several steps are listed here to elaborate the solution:</w:t>
      </w:r>
    </w:p>
    <w:p>
      <w:pPr>
        <w:numPr>
          <w:ilvl w:val="0"/>
          <w:numId w:val="4"/>
        </w:numPr>
        <w:snapToGrid w:val="0"/>
        <w:spacing w:line="240" w:lineRule="auto"/>
        <w:jc w:val="both"/>
        <w:rPr>
          <w:rFonts w:ascii="Times New Roman" w:hAnsi="Times New Roman"/>
          <w:sz w:val="20"/>
          <w:szCs w:val="20"/>
        </w:rPr>
      </w:pPr>
      <w:r>
        <w:rPr>
          <w:rFonts w:hint="eastAsia" w:ascii="Times New Roman" w:hAnsi="Times New Roman"/>
          <w:sz w:val="20"/>
          <w:szCs w:val="20"/>
        </w:rPr>
        <w:t>Step 1: TRS</w:t>
      </w:r>
      <w:r>
        <w:rPr>
          <w:rFonts w:hint="eastAsia" w:ascii="Times New Roman" w:hAnsi="Times New Roman"/>
          <w:sz w:val="20"/>
          <w:szCs w:val="20"/>
          <w:vertAlign w:val="subscript"/>
        </w:rPr>
        <w:t>0</w:t>
      </w:r>
      <w:r>
        <w:rPr>
          <w:rFonts w:hint="eastAsia" w:ascii="Times New Roman" w:hAnsi="Times New Roman"/>
          <w:sz w:val="20"/>
          <w:szCs w:val="20"/>
        </w:rPr>
        <w:t xml:space="preserve"> is first transmitted from TRP0 only. Then, based on estimation of TRS</w:t>
      </w:r>
      <w:r>
        <w:rPr>
          <w:rFonts w:hint="eastAsia" w:ascii="Times New Roman" w:hAnsi="Times New Roman"/>
          <w:sz w:val="20"/>
          <w:szCs w:val="20"/>
          <w:vertAlign w:val="subscript"/>
        </w:rPr>
        <w:t>0</w:t>
      </w:r>
      <w:r>
        <w:rPr>
          <w:rFonts w:hint="eastAsia" w:ascii="Times New Roman" w:hAnsi="Times New Roman"/>
          <w:sz w:val="20"/>
          <w:szCs w:val="20"/>
        </w:rPr>
        <w:t xml:space="preserve">, UE modulate its center frequency for UL signal transmission, e.g. SRS. Because of Doppler shift between UE and TRP0, the center frequency of SRS transmission will be </w:t>
      </w:r>
      <w:bookmarkStart w:id="8" w:name="OLE_LINK1"/>
      <w:r>
        <w:rPr>
          <w:rFonts w:hint="eastAsia" w:ascii="Times New Roman" w:hAnsi="Times New Roman"/>
          <w:position w:val="-10"/>
          <w:sz w:val="20"/>
          <w:szCs w:val="20"/>
        </w:rPr>
        <w:object>
          <v:shape id="_x0000_i1047" o:spt="75" type="#_x0000_t75" style="height:18.1pt;width:36.2pt;" o:ole="t" filled="f" o:preferrelative="t" stroked="f" coordsize="21600,21600">
            <v:path/>
            <v:fill on="f" focussize="0,0"/>
            <v:stroke on="f" joinstyle="miter"/>
            <v:imagedata r:id="rId55" o:title=""/>
            <o:lock v:ext="edit" aspectratio="t"/>
            <w10:wrap type="none"/>
            <w10:anchorlock/>
          </v:shape>
          <o:OLEObject Type="Embed" ProgID="Equation.3" ShapeID="_x0000_i1047" DrawAspect="Content" ObjectID="_1468075747" r:id="rId54">
            <o:LockedField>false</o:LockedField>
          </o:OLEObject>
        </w:object>
      </w:r>
      <w:bookmarkEnd w:id="8"/>
      <w:r>
        <w:rPr>
          <w:rFonts w:hint="eastAsia" w:ascii="Times New Roman" w:hAnsi="Times New Roman"/>
          <w:sz w:val="20"/>
          <w:szCs w:val="20"/>
        </w:rPr>
        <w:t>;</w:t>
      </w:r>
    </w:p>
    <w:p>
      <w:pPr>
        <w:numPr>
          <w:ilvl w:val="0"/>
          <w:numId w:val="4"/>
        </w:numPr>
        <w:snapToGrid w:val="0"/>
        <w:spacing w:line="240" w:lineRule="auto"/>
        <w:jc w:val="both"/>
        <w:rPr>
          <w:rFonts w:ascii="Times New Roman" w:hAnsi="Times New Roman"/>
          <w:sz w:val="20"/>
          <w:szCs w:val="20"/>
        </w:rPr>
      </w:pPr>
      <w:r>
        <w:rPr>
          <w:rFonts w:hint="eastAsia" w:ascii="Times New Roman" w:hAnsi="Times New Roman"/>
          <w:sz w:val="20"/>
          <w:szCs w:val="20"/>
        </w:rPr>
        <w:t>Step 2:</w:t>
      </w:r>
      <w:r>
        <w:rPr>
          <w:rFonts w:ascii="Times New Roman" w:hAnsi="Times New Roman"/>
          <w:sz w:val="20"/>
          <w:szCs w:val="20"/>
        </w:rPr>
        <w:t xml:space="preserve"> </w:t>
      </w:r>
      <w:r>
        <w:rPr>
          <w:rFonts w:hint="eastAsia" w:ascii="Times New Roman" w:hAnsi="Times New Roman"/>
          <w:sz w:val="20"/>
          <w:szCs w:val="20"/>
        </w:rPr>
        <w:t>TRP0</w:t>
      </w:r>
      <w:bookmarkStart w:id="9" w:name="OLE_LINK2"/>
      <w:r>
        <w:rPr>
          <w:rFonts w:hint="eastAsia" w:ascii="Times New Roman" w:hAnsi="Times New Roman"/>
          <w:sz w:val="20"/>
          <w:szCs w:val="20"/>
        </w:rPr>
        <w:t xml:space="preserve"> received SRS based on the center frequency </w:t>
      </w:r>
      <w:r>
        <w:rPr>
          <w:rFonts w:hint="eastAsia" w:ascii="Times New Roman" w:hAnsi="Times New Roman"/>
          <w:position w:val="-10"/>
          <w:sz w:val="20"/>
          <w:szCs w:val="20"/>
        </w:rPr>
        <w:object>
          <v:shape id="_x0000_i1048" o:spt="75" type="#_x0000_t75" style="height:18.1pt;width:40.8pt;" o:ole="t" filled="f" o:preferrelative="t" stroked="f" coordsize="21600,21600">
            <v:path/>
            <v:fill on="f" focussize="0,0"/>
            <v:stroke on="f" joinstyle="miter"/>
            <v:imagedata r:id="rId57" o:title=""/>
            <o:lock v:ext="edit" aspectratio="t"/>
            <w10:wrap type="none"/>
            <w10:anchorlock/>
          </v:shape>
          <o:OLEObject Type="Embed" ProgID="Equation.3" ShapeID="_x0000_i1048" DrawAspect="Content" ObjectID="_1468075748" r:id="rId56">
            <o:LockedField>false</o:LockedField>
          </o:OLEObject>
        </w:object>
      </w:r>
      <w:bookmarkEnd w:id="9"/>
      <w:r>
        <w:rPr>
          <w:rFonts w:hint="eastAsia" w:ascii="Times New Roman" w:hAnsi="Times New Roman"/>
          <w:sz w:val="20"/>
          <w:szCs w:val="20"/>
        </w:rPr>
        <w:t xml:space="preserve">, and TRP1 received SRS based on the center frequency </w:t>
      </w:r>
      <w:r>
        <w:rPr>
          <w:rFonts w:hint="eastAsia" w:ascii="Times New Roman" w:hAnsi="Times New Roman"/>
          <w:position w:val="-10"/>
          <w:sz w:val="20"/>
          <w:szCs w:val="20"/>
        </w:rPr>
        <w:object>
          <v:shape id="_x0000_i1049" o:spt="75" type="#_x0000_t75" style="height:18.1pt;width:58.15pt;" o:ole="t" filled="f" o:preferrelative="t" stroked="f" coordsize="21600,21600">
            <v:path/>
            <v:fill on="f" focussize="0,0"/>
            <v:stroke on="f" joinstyle="miter"/>
            <v:imagedata r:id="rId59" o:title=""/>
            <o:lock v:ext="edit" aspectratio="t"/>
            <w10:wrap type="none"/>
            <w10:anchorlock/>
          </v:shape>
          <o:OLEObject Type="Embed" ProgID="Equation.3" ShapeID="_x0000_i1049" DrawAspect="Content" ObjectID="_1468075749" r:id="rId58">
            <o:LockedField>false</o:LockedField>
          </o:OLEObject>
        </w:object>
      </w:r>
      <w:r>
        <w:rPr>
          <w:rFonts w:hint="eastAsia" w:ascii="Times New Roman" w:hAnsi="Times New Roman"/>
          <w:sz w:val="20"/>
          <w:szCs w:val="20"/>
        </w:rPr>
        <w:t>;</w:t>
      </w:r>
    </w:p>
    <w:p>
      <w:pPr>
        <w:numPr>
          <w:ilvl w:val="0"/>
          <w:numId w:val="4"/>
        </w:numPr>
        <w:snapToGrid w:val="0"/>
        <w:spacing w:line="240" w:lineRule="auto"/>
        <w:jc w:val="both"/>
        <w:rPr>
          <w:rFonts w:ascii="Times New Roman" w:hAnsi="Times New Roman"/>
          <w:sz w:val="20"/>
          <w:szCs w:val="20"/>
        </w:rPr>
      </w:pPr>
      <w:r>
        <w:rPr>
          <w:rFonts w:hint="eastAsia" w:ascii="Times New Roman" w:hAnsi="Times New Roman"/>
          <w:sz w:val="20"/>
          <w:szCs w:val="20"/>
        </w:rPr>
        <w:t>Step 3: TRP0 can estimate frequency offset</w:t>
      </w:r>
      <w:r>
        <w:rPr>
          <w:rFonts w:hint="eastAsia" w:ascii="Times New Roman" w:hAnsi="Times New Roman"/>
          <w:position w:val="-10"/>
          <w:sz w:val="20"/>
          <w:szCs w:val="20"/>
        </w:rPr>
        <w:object>
          <v:shape id="_x0000_i1050" o:spt="75" type="#_x0000_t75" style="height:18.1pt;width:16.95pt;" o:ole="t" filled="f" o:preferrelative="t" stroked="f" coordsize="21600,21600">
            <v:path/>
            <v:fill on="f" focussize="0,0"/>
            <v:stroke on="f" joinstyle="miter"/>
            <v:imagedata r:id="rId61" o:title=""/>
            <o:lock v:ext="edit" aspectratio="t"/>
            <w10:wrap type="none"/>
            <w10:anchorlock/>
          </v:shape>
          <o:OLEObject Type="Embed" ProgID="Equation.3" ShapeID="_x0000_i1050" DrawAspect="Content" ObjectID="_1468075750" r:id="rId60">
            <o:LockedField>false</o:LockedField>
          </o:OLEObject>
        </w:object>
      </w:r>
      <w:r>
        <w:rPr>
          <w:rFonts w:hint="eastAsia" w:ascii="Times New Roman" w:hAnsi="Times New Roman"/>
          <w:sz w:val="20"/>
          <w:szCs w:val="20"/>
        </w:rPr>
        <w:t xml:space="preserve"> between UE and itself; TRP1 can get the frequency offset </w:t>
      </w:r>
      <w:r>
        <w:rPr>
          <w:rFonts w:hint="eastAsia" w:ascii="Times New Roman" w:hAnsi="Times New Roman"/>
          <w:position w:val="-10"/>
          <w:sz w:val="20"/>
          <w:szCs w:val="20"/>
        </w:rPr>
        <w:object>
          <v:shape id="_x0000_i1051" o:spt="75" type="#_x0000_t75" style="height:18.1pt;width:16.95pt;" o:ole="t" filled="f" o:preferrelative="t" stroked="f" coordsize="21600,21600">
            <v:path/>
            <v:fill on="f" focussize="0,0"/>
            <v:stroke on="f" joinstyle="miter"/>
            <v:imagedata r:id="rId61" o:title=""/>
            <o:lock v:ext="edit" aspectratio="t"/>
            <w10:wrap type="none"/>
            <w10:anchorlock/>
          </v:shape>
          <o:OLEObject Type="Embed" ProgID="Equation.3" ShapeID="_x0000_i1051" DrawAspect="Content" ObjectID="_1468075751" r:id="rId62">
            <o:LockedField>false</o:LockedField>
          </o:OLEObject>
        </w:object>
      </w:r>
      <w:r>
        <w:rPr>
          <w:rFonts w:hint="eastAsia" w:ascii="Times New Roman" w:hAnsi="Times New Roman"/>
          <w:sz w:val="20"/>
          <w:szCs w:val="20"/>
        </w:rPr>
        <w:t>estimated by TRP0, and estimate frequency offset</w:t>
      </w:r>
      <w:r>
        <w:rPr>
          <w:rFonts w:hint="eastAsia" w:ascii="Times New Roman" w:hAnsi="Times New Roman"/>
          <w:position w:val="-10"/>
          <w:sz w:val="20"/>
          <w:szCs w:val="20"/>
        </w:rPr>
        <w:object>
          <v:shape id="_x0000_i1052" o:spt="75" type="#_x0000_t75" style="height:18.1pt;width:16.15pt;" o:ole="t" filled="f" o:preferrelative="t" stroked="f" coordsize="21600,21600">
            <v:path/>
            <v:fill on="f" focussize="0,0"/>
            <v:stroke on="f" joinstyle="miter"/>
            <v:imagedata r:id="rId64" o:title=""/>
            <o:lock v:ext="edit" aspectratio="t"/>
            <w10:wrap type="none"/>
            <w10:anchorlock/>
          </v:shape>
          <o:OLEObject Type="Embed" ProgID="Equation.3" ShapeID="_x0000_i1052" DrawAspect="Content" ObjectID="_1468075752" r:id="rId63">
            <o:LockedField>false</o:LockedField>
          </o:OLEObject>
        </w:object>
      </w:r>
      <w:r>
        <w:rPr>
          <w:rFonts w:hint="eastAsia" w:ascii="Times New Roman" w:hAnsi="Times New Roman"/>
          <w:sz w:val="20"/>
          <w:szCs w:val="20"/>
        </w:rPr>
        <w:t xml:space="preserve"> between UE and itself; </w:t>
      </w:r>
    </w:p>
    <w:p>
      <w:pPr>
        <w:numPr>
          <w:ilvl w:val="0"/>
          <w:numId w:val="4"/>
        </w:numPr>
        <w:snapToGrid w:val="0"/>
        <w:spacing w:line="240" w:lineRule="auto"/>
        <w:jc w:val="both"/>
        <w:rPr>
          <w:rFonts w:ascii="Times New Roman" w:hAnsi="Times New Roman"/>
          <w:sz w:val="20"/>
          <w:szCs w:val="20"/>
        </w:rPr>
      </w:pPr>
      <w:r>
        <w:rPr>
          <w:rFonts w:hint="eastAsia" w:ascii="Times New Roman" w:hAnsi="Times New Roman"/>
          <w:sz w:val="20"/>
          <w:szCs w:val="20"/>
        </w:rPr>
        <w:t>Step 4: Two TRPs do frequency offset pre-compensation respectively to transmit TRS</w:t>
      </w:r>
      <w:r>
        <w:rPr>
          <w:rFonts w:ascii="Times New Roman" w:hAnsi="Times New Roman"/>
          <w:sz w:val="20"/>
          <w:szCs w:val="20"/>
          <w:vertAlign w:val="subscript"/>
        </w:rPr>
        <w:t>1</w:t>
      </w:r>
      <w:r>
        <w:rPr>
          <w:rFonts w:hint="eastAsia" w:ascii="Times New Roman" w:hAnsi="Times New Roman"/>
          <w:sz w:val="20"/>
          <w:szCs w:val="20"/>
        </w:rPr>
        <w:t>. At UE side, the frequency offset on TRS 1 will be negligible because of different frequency offset pre-compensations at TRP0 and TRP1. As shown in Figure 5, the frequency difference can be zero ideally after pre-compensation from two TRPs.</w:t>
      </w:r>
    </w:p>
    <w:p>
      <w:pPr>
        <w:snapToGrid w:val="0"/>
        <w:spacing w:line="240" w:lineRule="auto"/>
        <w:jc w:val="both"/>
        <w:rPr>
          <w:rFonts w:ascii="Times New Roman" w:hAnsi="Times New Roman"/>
          <w:sz w:val="20"/>
          <w:szCs w:val="20"/>
        </w:rPr>
      </w:pPr>
    </w:p>
    <w:p>
      <w:pPr>
        <w:snapToGrid w:val="0"/>
        <w:spacing w:line="240" w:lineRule="auto"/>
        <w:jc w:val="center"/>
      </w:pPr>
      <w:r>
        <w:drawing>
          <wp:inline distT="0" distB="0" distL="114300" distR="114300">
            <wp:extent cx="4255770" cy="2606040"/>
            <wp:effectExtent l="0" t="0" r="11430" b="381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65"/>
                    <a:stretch>
                      <a:fillRect/>
                    </a:stretch>
                  </pic:blipFill>
                  <pic:spPr>
                    <a:xfrm>
                      <a:off x="0" y="0"/>
                      <a:ext cx="4255770" cy="2606040"/>
                    </a:xfrm>
                    <a:prstGeom prst="rect">
                      <a:avLst/>
                    </a:prstGeom>
                    <a:noFill/>
                    <a:ln w="9525">
                      <a:noFill/>
                    </a:ln>
                  </pic:spPr>
                </pic:pic>
              </a:graphicData>
            </a:graphic>
          </wp:inline>
        </w:drawing>
      </w:r>
    </w:p>
    <w:p>
      <w:pPr>
        <w:snapToGrid w:val="0"/>
        <w:spacing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5. pre-compensation</w:t>
      </w:r>
    </w:p>
    <w:p>
      <w:pPr>
        <w:snapToGrid w:val="0"/>
        <w:spacing w:line="240" w:lineRule="auto"/>
        <w:jc w:val="both"/>
        <w:rPr>
          <w:rFonts w:ascii="Times New Roman" w:hAnsi="Times New Roman"/>
          <w:sz w:val="20"/>
          <w:szCs w:val="20"/>
        </w:rPr>
      </w:pPr>
      <w:r>
        <w:rPr>
          <w:rFonts w:hint="eastAsia" w:ascii="Times New Roman" w:hAnsi="Times New Roman"/>
          <w:sz w:val="20"/>
          <w:szCs w:val="20"/>
        </w:rPr>
        <w:t xml:space="preserve">Most </w:t>
      </w:r>
      <w:r>
        <w:rPr>
          <w:rFonts w:ascii="Times New Roman" w:hAnsi="Times New Roman"/>
          <w:sz w:val="20"/>
          <w:szCs w:val="20"/>
        </w:rPr>
        <w:t xml:space="preserve">of the </w:t>
      </w:r>
      <w:r>
        <w:rPr>
          <w:rFonts w:hint="eastAsia" w:ascii="Times New Roman" w:hAnsi="Times New Roman"/>
          <w:sz w:val="20"/>
          <w:szCs w:val="20"/>
        </w:rPr>
        <w:t xml:space="preserve">above procedures belong to implementation issues. However, since two TRS resource sets 0 and 1 with different center frequencies are needed. UE has to know which TRS is used to modulate center frequency of SRS transmission. Considering the QCL relation between DL and UL in unified TCI design in Rel-17, gNB can inform TRS index in TCI/spatial relation configuration for UL signal transmission.   </w:t>
      </w:r>
    </w:p>
    <w:p>
      <w:pPr>
        <w:snapToGrid w:val="0"/>
        <w:spacing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ascii="Times New Roman" w:hAnsi="Times New Roman"/>
          <w:bCs/>
          <w:i/>
          <w:iCs/>
          <w:sz w:val="20"/>
          <w:szCs w:val="20"/>
        </w:rPr>
        <w:t>To implement frequency offset pre-compensation, gNB can inform TRS index in TCI/spatial relation configuration for UL signal.</w:t>
      </w:r>
    </w:p>
    <w:p>
      <w:pPr>
        <w:snapToGrid w:val="0"/>
        <w:spacing w:line="240" w:lineRule="auto"/>
        <w:jc w:val="both"/>
        <w:rPr>
          <w:rFonts w:hint="eastAsia" w:ascii="Times New Roman" w:hAnsi="Times New Roman"/>
          <w:sz w:val="20"/>
          <w:szCs w:val="20"/>
        </w:rPr>
      </w:pPr>
      <w:r>
        <w:rPr>
          <w:rFonts w:hint="eastAsia" w:ascii="Times New Roman" w:hAnsi="Times New Roman"/>
          <w:sz w:val="20"/>
          <w:szCs w:val="20"/>
        </w:rPr>
        <w:t xml:space="preserve">In order to </w:t>
      </w:r>
      <w:r>
        <w:rPr>
          <w:rFonts w:ascii="Times New Roman" w:hAnsi="Times New Roman"/>
          <w:sz w:val="20"/>
          <w:szCs w:val="20"/>
        </w:rPr>
        <w:t>evaluate</w:t>
      </w:r>
      <w:r>
        <w:rPr>
          <w:rFonts w:hint="eastAsia" w:ascii="Times New Roman" w:hAnsi="Times New Roman"/>
          <w:sz w:val="20"/>
          <w:szCs w:val="20"/>
        </w:rPr>
        <w:t xml:space="preserve"> the benefit of solution 2, simulation results are also provided below. The simulation assumption can be found in the Appendix. </w:t>
      </w:r>
      <w:bookmarkStart w:id="10" w:name="OLE_LINK3"/>
      <w:r>
        <w:rPr>
          <w:rFonts w:hint="eastAsia" w:ascii="Times New Roman" w:hAnsi="Times New Roman"/>
          <w:sz w:val="20"/>
          <w:szCs w:val="20"/>
        </w:rPr>
        <w:t>Figure 6 shows the throughput on different UE location with the UE</w:t>
      </w:r>
      <w:r>
        <w:rPr>
          <w:rFonts w:ascii="Times New Roman" w:hAnsi="Times New Roman"/>
          <w:sz w:val="20"/>
          <w:szCs w:val="20"/>
        </w:rPr>
        <w:t>’</w:t>
      </w:r>
      <w:r>
        <w:rPr>
          <w:rFonts w:hint="eastAsia" w:ascii="Times New Roman" w:hAnsi="Times New Roman"/>
          <w:sz w:val="20"/>
          <w:szCs w:val="20"/>
        </w:rPr>
        <w:t>s speed 350km/h and 500km/h</w:t>
      </w:r>
      <w:bookmarkEnd w:id="10"/>
      <w:r>
        <w:rPr>
          <w:rFonts w:hint="eastAsia" w:ascii="Times New Roman" w:hAnsi="Times New Roman"/>
          <w:sz w:val="20"/>
          <w:szCs w:val="20"/>
        </w:rPr>
        <w:t xml:space="preserve">. The simulation results in Figure 7 shows the throughput in the middle of the two TRPs with MCS 16QAM and 0.5 code rate. From the simulation results in Figure 6 and Figure 7, it can be found that pre-compensation </w:t>
      </w:r>
      <w:r>
        <w:rPr>
          <w:rFonts w:ascii="Times New Roman" w:hAnsi="Times New Roman"/>
          <w:sz w:val="20"/>
          <w:szCs w:val="20"/>
        </w:rPr>
        <w:t>achieves</w:t>
      </w:r>
      <w:r>
        <w:rPr>
          <w:rFonts w:hint="eastAsia" w:ascii="Times New Roman" w:hAnsi="Times New Roman"/>
          <w:sz w:val="20"/>
          <w:szCs w:val="20"/>
        </w:rPr>
        <w:t xml:space="preserve"> better performance than Rel-15/16 SFN based solution especially when the UE is in the middle of the two TRPs..</w:t>
      </w:r>
    </w:p>
    <w:p>
      <w:pPr>
        <w:snapToGrid w:val="0"/>
        <w:spacing w:before="180" w:beforeLines="50" w:after="180" w:afterLines="50" w:line="240" w:lineRule="auto"/>
        <w:jc w:val="center"/>
        <w:rPr>
          <w:rFonts w:ascii="Times New Roman" w:hAnsi="Times New Roman" w:eastAsia="宋体"/>
          <w:b/>
          <w:bCs/>
          <w:sz w:val="20"/>
          <w:szCs w:val="20"/>
          <w:highlight w:val="yellow"/>
        </w:rPr>
      </w:pPr>
      <w:r>
        <w:drawing>
          <wp:inline distT="0" distB="0" distL="0" distR="0">
            <wp:extent cx="2865755" cy="16510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2865755" cy="1651000"/>
                    </a:xfrm>
                    <a:prstGeom prst="rect">
                      <a:avLst/>
                    </a:prstGeom>
                    <a:noFill/>
                    <a:ln>
                      <a:noFill/>
                    </a:ln>
                  </pic:spPr>
                </pic:pic>
              </a:graphicData>
            </a:graphic>
          </wp:inline>
        </w:drawing>
      </w:r>
      <w:r>
        <w:drawing>
          <wp:inline distT="0" distB="0" distL="0" distR="0">
            <wp:extent cx="2845435" cy="1639570"/>
            <wp:effectExtent l="0" t="0" r="0" b="177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2845435" cy="163957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6. simulation results comparison for SNR=30dB based on different UE locations</w:t>
      </w:r>
    </w:p>
    <w:p>
      <w:pPr>
        <w:snapToGrid w:val="0"/>
        <w:spacing w:before="180" w:beforeLines="50" w:after="180" w:afterLines="50" w:line="240" w:lineRule="auto"/>
        <w:jc w:val="center"/>
      </w:pPr>
      <w:r>
        <w:drawing>
          <wp:inline distT="0" distB="0" distL="0" distR="0">
            <wp:extent cx="2853055" cy="1644015"/>
            <wp:effectExtent l="0" t="0" r="0" b="133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2853055" cy="164401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Figure 7. </w:t>
      </w:r>
      <w:r>
        <w:rPr>
          <w:rFonts w:ascii="Times New Roman" w:hAnsi="Times New Roman" w:eastAsia="宋体"/>
          <w:sz w:val="20"/>
          <w:szCs w:val="20"/>
        </w:rPr>
        <w:t>S</w:t>
      </w:r>
      <w:r>
        <w:rPr>
          <w:rFonts w:hint="eastAsia" w:ascii="Times New Roman" w:hAnsi="Times New Roman" w:eastAsia="宋体"/>
          <w:sz w:val="20"/>
          <w:szCs w:val="20"/>
        </w:rPr>
        <w:t xml:space="preserve">imulation results with the UE </w:t>
      </w:r>
      <w:r>
        <w:rPr>
          <w:rFonts w:ascii="Times New Roman" w:hAnsi="Times New Roman" w:eastAsia="宋体"/>
          <w:sz w:val="20"/>
          <w:szCs w:val="20"/>
        </w:rPr>
        <w:t>l</w:t>
      </w:r>
      <w:r>
        <w:rPr>
          <w:rFonts w:hint="eastAsia" w:ascii="Times New Roman" w:hAnsi="Times New Roman" w:eastAsia="宋体"/>
          <w:sz w:val="20"/>
          <w:szCs w:val="20"/>
        </w:rPr>
        <w:t>ocation in the middle of the two TRPs</w:t>
      </w:r>
    </w:p>
    <w:p>
      <w:pPr>
        <w:snapToGrid w:val="0"/>
        <w:spacing w:before="0" w:beforeLines="-2147483648" w:after="200" w:afterLines="-2147483648" w:line="240" w:lineRule="auto"/>
        <w:jc w:val="both"/>
        <w:rPr>
          <w:rFonts w:ascii="Times New Roman" w:hAnsi="Times New Roman" w:eastAsiaTheme="minorEastAsia"/>
          <w:i/>
          <w:sz w:val="20"/>
          <w:szCs w:val="20"/>
        </w:rPr>
      </w:pPr>
      <w:r>
        <w:rPr>
          <w:rFonts w:ascii="Times New Roman" w:hAnsi="Times New Roman" w:eastAsiaTheme="minorEastAsia"/>
          <w:b/>
          <w:i/>
          <w:sz w:val="20"/>
          <w:szCs w:val="20"/>
        </w:rPr>
        <w:t>Observation 2:</w:t>
      </w:r>
      <w:r>
        <w:rPr>
          <w:rFonts w:ascii="Times New Roman" w:hAnsi="Times New Roman" w:eastAsiaTheme="minorEastAsia"/>
          <w:i/>
          <w:sz w:val="20"/>
          <w:szCs w:val="20"/>
        </w:rPr>
        <w:t xml:space="preserve"> </w:t>
      </w:r>
      <w:r>
        <w:rPr>
          <w:rFonts w:ascii="Times New Roman" w:hAnsi="Times New Roman"/>
          <w:i/>
          <w:sz w:val="20"/>
          <w:szCs w:val="20"/>
        </w:rPr>
        <w:t>Pre-compensation at gNB side for frequency offset caused by high Doppler achieves significant performance gain for high-speed UEs, esp. for UE locations in the middle of two SFN TRPs.</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iCs/>
          <w:sz w:val="20"/>
          <w:szCs w:val="20"/>
        </w:rPr>
      </w:pPr>
      <w:bookmarkStart w:id="11" w:name="OLE_LINK10"/>
      <w:bookmarkStart w:id="12"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HST-SFN deployment scenario</w:t>
      </w:r>
      <w:r>
        <w:rPr>
          <w:rFonts w:hint="eastAsia"/>
          <w:i/>
          <w:iCs/>
        </w:rPr>
        <w:t xml:space="preserve">. </w:t>
      </w:r>
      <w:r>
        <w:rPr>
          <w:rFonts w:ascii="Times New Roman" w:hAnsi="Times New Roman"/>
          <w:iCs/>
          <w:sz w:val="20"/>
          <w:szCs w:val="20"/>
        </w:rPr>
        <w:t>The observations and proposals are given below.</w:t>
      </w:r>
    </w:p>
    <w:p>
      <w:pPr>
        <w:snapToGrid w:val="0"/>
        <w:jc w:val="both"/>
        <w:rPr>
          <w:rFonts w:ascii="Times New Roman" w:hAnsi="Times New Roman"/>
          <w:b w:val="0"/>
          <w:bCs/>
          <w:i/>
          <w:iCs/>
          <w:sz w:val="20"/>
          <w:szCs w:val="20"/>
        </w:rPr>
      </w:pPr>
      <w:r>
        <w:rPr>
          <w:rFonts w:ascii="Times New Roman" w:hAnsi="Times New Roman"/>
          <w:b/>
          <w:bCs/>
          <w:i/>
          <w:iCs/>
          <w:sz w:val="20"/>
          <w:szCs w:val="20"/>
        </w:rPr>
        <w:t xml:space="preserve">Observation 1: </w:t>
      </w:r>
      <w:r>
        <w:rPr>
          <w:rFonts w:ascii="Times New Roman" w:hAnsi="Times New Roman"/>
          <w:b w:val="0"/>
          <w:bCs/>
          <w:i/>
          <w:iCs/>
          <w:sz w:val="20"/>
          <w:szCs w:val="20"/>
        </w:rPr>
        <w:t>With two QCL assumptions derived from two TRS resource sets for the same DMRS port, significant performance gain can be achieved for high-speed UE in SFN deployment, esp. for UE locations in the middle of the two TRPs.</w:t>
      </w:r>
    </w:p>
    <w:p>
      <w:pPr>
        <w:snapToGrid w:val="0"/>
        <w:spacing w:before="0" w:beforeLines="-2147483648" w:after="200" w:afterLines="-2147483648" w:line="240" w:lineRule="auto"/>
        <w:jc w:val="both"/>
        <w:rPr>
          <w:rFonts w:ascii="Times New Roman" w:hAnsi="Times New Roman"/>
          <w:b w:val="0"/>
          <w:bCs/>
          <w:i/>
          <w:iCs/>
          <w:sz w:val="20"/>
          <w:szCs w:val="20"/>
        </w:rPr>
      </w:pPr>
      <w:r>
        <w:rPr>
          <w:rFonts w:ascii="Times New Roman" w:hAnsi="Times New Roman" w:eastAsiaTheme="minorEastAsia"/>
          <w:b/>
          <w:i/>
          <w:sz w:val="20"/>
          <w:szCs w:val="20"/>
        </w:rPr>
        <w:t>Observation 2:</w:t>
      </w:r>
      <w:r>
        <w:rPr>
          <w:rFonts w:ascii="Times New Roman" w:hAnsi="Times New Roman" w:eastAsiaTheme="minorEastAsia"/>
          <w:i/>
          <w:sz w:val="20"/>
          <w:szCs w:val="20"/>
        </w:rPr>
        <w:t xml:space="preserve"> </w:t>
      </w:r>
      <w:r>
        <w:rPr>
          <w:rFonts w:ascii="Times New Roman" w:hAnsi="Times New Roman"/>
          <w:i/>
          <w:sz w:val="20"/>
          <w:szCs w:val="20"/>
        </w:rPr>
        <w:t>Pre-compensation at gNB side for frequency offset caused by high Doppler achieves significant performance gain for high-speed UEs, esp. for UE locations in the middle of two SFN TRPs.</w:t>
      </w:r>
    </w:p>
    <w:p>
      <w:pPr>
        <w:snapToGrid w:val="0"/>
        <w:jc w:val="both"/>
        <w:rPr>
          <w:rFonts w:ascii="Times New Roman" w:hAnsi="Times New Roman"/>
          <w:sz w:val="20"/>
          <w:szCs w:val="20"/>
        </w:rPr>
      </w:pPr>
      <w:r>
        <w:rPr>
          <w:rFonts w:hint="eastAsia" w:ascii="Times New Roman" w:hAnsi="Times New Roman"/>
          <w:b/>
          <w:bCs/>
          <w:i/>
          <w:iCs/>
          <w:sz w:val="20"/>
          <w:szCs w:val="20"/>
        </w:rPr>
        <w:t xml:space="preserve">Proposal 1: </w:t>
      </w:r>
      <w:r>
        <w:rPr>
          <w:rFonts w:ascii="Times New Roman" w:hAnsi="Times New Roman"/>
          <w:b w:val="0"/>
          <w:bCs/>
          <w:i/>
          <w:iCs/>
          <w:sz w:val="20"/>
          <w:szCs w:val="20"/>
        </w:rPr>
        <w:t xml:space="preserve">Support </w:t>
      </w:r>
      <w:r>
        <w:rPr>
          <w:rFonts w:ascii="Times New Roman" w:hAnsi="Times New Roman"/>
          <w:bCs/>
          <w:i/>
          <w:iCs/>
          <w:sz w:val="20"/>
          <w:szCs w:val="20"/>
        </w:rPr>
        <w:t>t</w:t>
      </w:r>
      <w:r>
        <w:rPr>
          <w:rFonts w:hint="eastAsia" w:ascii="Times New Roman" w:hAnsi="Times New Roman"/>
          <w:b w:val="0"/>
          <w:bCs/>
          <w:i/>
          <w:iCs/>
          <w:sz w:val="20"/>
          <w:szCs w:val="20"/>
        </w:rPr>
        <w:t>wo</w:t>
      </w:r>
      <w:r>
        <w:rPr>
          <w:rFonts w:ascii="Times New Roman" w:hAnsi="Times New Roman"/>
          <w:bCs/>
          <w:i/>
          <w:iCs/>
          <w:sz w:val="20"/>
          <w:szCs w:val="20"/>
        </w:rPr>
        <w:t xml:space="preserve"> TCI states for the same DMRS port(s) </w:t>
      </w:r>
      <w:r>
        <w:rPr>
          <w:rFonts w:hint="eastAsia" w:ascii="Times New Roman" w:hAnsi="Times New Roman"/>
          <w:b w:val="0"/>
          <w:bCs/>
          <w:i/>
          <w:iCs/>
          <w:sz w:val="20"/>
          <w:szCs w:val="20"/>
        </w:rPr>
        <w:t xml:space="preserve">for the </w:t>
      </w:r>
      <w:r>
        <w:rPr>
          <w:rFonts w:ascii="Times New Roman" w:hAnsi="Times New Roman"/>
          <w:i/>
          <w:iCs/>
          <w:sz w:val="20"/>
          <w:szCs w:val="20"/>
        </w:rPr>
        <w:t>HST-SFN deployment scenario</w:t>
      </w:r>
      <w:r>
        <w:rPr>
          <w:rFonts w:ascii="Times New Roman" w:hAnsi="Times New Roman"/>
          <w:bCs/>
          <w:i/>
          <w:iCs/>
          <w:sz w:val="20"/>
          <w:szCs w:val="20"/>
        </w:rPr>
        <w:t>.</w:t>
      </w:r>
    </w:p>
    <w:p>
      <w:pPr>
        <w:snapToGrid w:val="0"/>
        <w:spacing w:line="240" w:lineRule="auto"/>
        <w:jc w:val="both"/>
        <w:rPr>
          <w:rFonts w:ascii="Times New Roman" w:hAnsi="Times New Roman"/>
          <w:bCs/>
          <w:i/>
          <w:iCs/>
          <w:sz w:val="20"/>
          <w:szCs w:val="20"/>
        </w:rPr>
      </w:pPr>
      <w:r>
        <w:rPr>
          <w:rFonts w:hint="eastAsia" w:ascii="Times New Roman" w:hAnsi="Times New Roman"/>
          <w:b/>
          <w:bCs/>
          <w:i/>
          <w:iCs/>
          <w:sz w:val="20"/>
          <w:szCs w:val="20"/>
        </w:rPr>
        <w:t xml:space="preserve">Proposal 2: </w:t>
      </w:r>
      <w:r>
        <w:rPr>
          <w:rFonts w:ascii="Times New Roman" w:hAnsi="Times New Roman"/>
          <w:bCs/>
          <w:i/>
          <w:iCs/>
          <w:sz w:val="20"/>
          <w:szCs w:val="20"/>
        </w:rPr>
        <w:t>To implement frequency offset pre-compensation, gNB can inform TRS index in TCI/spatial relation configuration for UL signal.</w:t>
      </w:r>
    </w:p>
    <w:p>
      <w:pPr>
        <w:snapToGrid w:val="0"/>
        <w:spacing w:line="240" w:lineRule="auto"/>
        <w:jc w:val="both"/>
        <w:rPr>
          <w:rFonts w:ascii="Times New Roman" w:hAnsi="Times New Roman"/>
          <w:bCs/>
          <w:i/>
          <w:iCs/>
          <w:sz w:val="20"/>
          <w:szCs w:val="20"/>
        </w:rPr>
      </w:pPr>
    </w:p>
    <w:p>
      <w:pPr>
        <w:pStyle w:val="2"/>
        <w:snapToGrid w:val="0"/>
        <w:spacing w:before="180" w:beforeLines="50" w:after="180" w:afterLines="50"/>
        <w:ind w:left="431" w:hanging="431"/>
        <w:rPr>
          <w:sz w:val="28"/>
          <w:lang w:val="en-US"/>
        </w:rPr>
      </w:pPr>
      <w:r>
        <w:rPr>
          <w:sz w:val="28"/>
          <w:lang w:val="en-US"/>
        </w:rPr>
        <w:t>References</w:t>
      </w:r>
    </w:p>
    <w:bookmarkEnd w:id="11"/>
    <w:bookmarkEnd w:id="12"/>
    <w:p>
      <w:pPr>
        <w:pStyle w:val="88"/>
        <w:numPr>
          <w:ilvl w:val="0"/>
          <w:numId w:val="5"/>
        </w:numPr>
        <w:snapToGrid w:val="0"/>
        <w:rPr>
          <w:sz w:val="20"/>
          <w:szCs w:val="20"/>
          <w:lang w:val="en-GB"/>
        </w:rPr>
      </w:pPr>
      <w:r>
        <w:rPr>
          <w:rFonts w:hint="eastAsia"/>
          <w:sz w:val="20"/>
          <w:szCs w:val="20"/>
        </w:rPr>
        <w:t>RP-193133, WID proposal FeMIMO, Samsung</w:t>
      </w:r>
    </w:p>
    <w:p>
      <w:pPr>
        <w:pStyle w:val="2"/>
        <w:snapToGrid w:val="0"/>
        <w:spacing w:before="180" w:beforeLines="50" w:after="180" w:afterLines="50"/>
        <w:ind w:left="431" w:hanging="431"/>
        <w:rPr>
          <w:sz w:val="28"/>
          <w:lang w:val="en-US"/>
        </w:rPr>
      </w:pPr>
      <w:r>
        <w:rPr>
          <w:rFonts w:hint="eastAsia"/>
          <w:sz w:val="28"/>
          <w:lang w:val="en-US"/>
        </w:rPr>
        <w:t>Appendix</w:t>
      </w:r>
    </w:p>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Table 5-1 LLS assumptions for</w:t>
      </w:r>
      <w:r>
        <w:rPr>
          <w:rFonts w:ascii="Times New Roman" w:hAnsi="Times New Roman" w:eastAsia="宋体"/>
          <w:sz w:val="20"/>
          <w:szCs w:val="20"/>
          <w:lang w:val="en-GB" w:eastAsia="ko-KR"/>
        </w:rPr>
        <w:t xml:space="preserve"> multi-TRP</w:t>
      </w:r>
      <w:r>
        <w:rPr>
          <w:rFonts w:hint="eastAsia" w:ascii="Times New Roman" w:hAnsi="Times New Roman" w:eastAsia="宋体"/>
          <w:sz w:val="20"/>
          <w:szCs w:val="20"/>
        </w:rPr>
        <w:t xml:space="preserve"> performance evaluation</w:t>
      </w:r>
    </w:p>
    <w:tbl>
      <w:tblPr>
        <w:tblStyle w:val="34"/>
        <w:tblW w:w="9415"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7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trPr>
        <w:tc>
          <w:tcPr>
            <w:tcW w:w="1585" w:type="dxa"/>
            <w:shd w:val="clear" w:color="auto" w:fill="DDD9C4" w:themeFill="background2" w:themeFillShade="E6"/>
          </w:tcPr>
          <w:p>
            <w:pPr>
              <w:spacing w:after="0" w:line="240" w:lineRule="auto"/>
              <w:rPr>
                <w:rFonts w:ascii="Times New Roman" w:hAnsi="Times New Roman"/>
                <w:sz w:val="20"/>
                <w:szCs w:val="20"/>
              </w:rPr>
            </w:pPr>
            <w:r>
              <w:rPr>
                <w:rFonts w:ascii="Times New Roman" w:hAnsi="Times New Roman" w:eastAsia="宋体"/>
                <w:b/>
                <w:bCs/>
                <w:color w:val="000000" w:themeColor="text1"/>
                <w:kern w:val="24"/>
                <w:sz w:val="20"/>
                <w:szCs w:val="20"/>
                <w:lang w:val="en-GB"/>
                <w14:textFill>
                  <w14:solidFill>
                    <w14:schemeClr w14:val="tx1"/>
                  </w14:solidFill>
                </w14:textFill>
              </w:rPr>
              <w:t>Parameter</w:t>
            </w:r>
          </w:p>
        </w:tc>
        <w:tc>
          <w:tcPr>
            <w:tcW w:w="7830" w:type="dxa"/>
            <w:shd w:val="clear" w:color="auto" w:fill="DDD9C4" w:themeFill="background2" w:themeFillShade="E6"/>
          </w:tcPr>
          <w:p>
            <w:pPr>
              <w:spacing w:after="0" w:line="240" w:lineRule="auto"/>
              <w:jc w:val="center"/>
              <w:rPr>
                <w:rFonts w:ascii="Times New Roman" w:hAnsi="Times New Roman"/>
                <w:b/>
                <w:bCs/>
                <w:sz w:val="20"/>
                <w:szCs w:val="20"/>
              </w:rPr>
            </w:pPr>
            <w:r>
              <w:rPr>
                <w:rFonts w:ascii="Times New Roman" w:hAnsi="Times New Roman"/>
                <w:b/>
                <w:bCs/>
                <w:sz w:val="20"/>
                <w:szCs w:val="20"/>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vAlign w:val="center"/>
          </w:tcPr>
          <w:p>
            <w:pPr>
              <w:spacing w:after="0" w:line="240" w:lineRule="auto"/>
              <w:rPr>
                <w:rFonts w:ascii="Times New Roman" w:hAnsi="Times New Roman"/>
                <w:sz w:val="20"/>
                <w:szCs w:val="20"/>
              </w:rPr>
            </w:pPr>
            <w:r>
              <w:rPr>
                <w:rFonts w:ascii="Times New Roman" w:hAnsi="Times New Roman"/>
                <w:sz w:val="20"/>
                <w:szCs w:val="20"/>
              </w:rPr>
              <w:t xml:space="preserve">Duplexing </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vAlign w:val="center"/>
          </w:tcPr>
          <w:p>
            <w:pPr>
              <w:spacing w:after="0" w:line="240" w:lineRule="auto"/>
              <w:rPr>
                <w:rFonts w:ascii="Times New Roman" w:hAnsi="Times New Roman"/>
                <w:sz w:val="20"/>
                <w:szCs w:val="20"/>
                <w:lang w:val="fr-FR"/>
              </w:rPr>
            </w:pPr>
            <w:r>
              <w:rPr>
                <w:rFonts w:ascii="Times New Roman" w:hAnsi="Times New Roman"/>
                <w:sz w:val="20"/>
                <w:szCs w:val="20"/>
                <w:lang w:val="fr-FR"/>
              </w:rPr>
              <w:t>TRP layout (Ds, Dmin, etc)</w:t>
            </w:r>
          </w:p>
        </w:tc>
        <w:tc>
          <w:tcPr>
            <w:tcW w:w="7830" w:type="dxa"/>
          </w:tcPr>
          <w:p>
            <w:pPr>
              <w:spacing w:after="0" w:line="240" w:lineRule="auto"/>
              <w:jc w:val="center"/>
              <w:rPr>
                <w:rFonts w:ascii="Times New Roman" w:hAnsi="Times New Roman"/>
                <w:sz w:val="20"/>
                <w:szCs w:val="20"/>
                <w:lang w:val="fr-FR"/>
              </w:rPr>
            </w:pPr>
            <w:r>
              <w:rPr>
                <w:rFonts w:ascii="Times New Roman" w:hAnsi="Times New Roman"/>
                <w:sz w:val="20"/>
                <w:szCs w:val="20"/>
                <w:lang w:val="en-GB"/>
              </w:rPr>
              <w:t>Ds=700m, Dmin=150m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gNB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2 ports: [Mg, Ng, M, N, P]=[1, 1, 1, 1, 2],</w:t>
            </w:r>
          </w:p>
          <w:p>
            <w:pPr>
              <w:spacing w:after="0" w:line="240" w:lineRule="auto"/>
              <w:jc w:val="center"/>
              <w:rPr>
                <w:rFonts w:ascii="Times New Roman" w:hAnsi="Times New Roman"/>
                <w:sz w:val="20"/>
                <w:szCs w:val="20"/>
              </w:rPr>
            </w:pPr>
            <w:r>
              <w:rPr>
                <w:rFonts w:ascii="Times New Roman" w:hAnsi="Times New Roman"/>
                <w:sz w:val="20"/>
                <w:szCs w:val="20"/>
              </w:rPr>
              <w:t>directional antenna</w:t>
            </w:r>
            <w:r>
              <w:rPr>
                <w:rFonts w:hint="default" w:ascii="Times New Roman" w:hAnsi="Times New Roman"/>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UE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2 ports:</w:t>
            </w:r>
            <w:r>
              <w:rPr>
                <w:rFonts w:hint="default" w:ascii="Times New Roman" w:hAnsi="Times New Roman"/>
                <w:sz w:val="20"/>
                <w:szCs w:val="20"/>
              </w:rPr>
              <w:t xml:space="preserve"> [</w:t>
            </w:r>
            <w:r>
              <w:rPr>
                <w:rFonts w:ascii="Times New Roman" w:hAnsi="Times New Roman"/>
                <w:sz w:val="20"/>
                <w:szCs w:val="20"/>
              </w:rPr>
              <w:t xml:space="preserve">Mg, Ng, M, N, P]=[ 1, 1, 1, 1, 2] </w:t>
            </w:r>
          </w:p>
          <w:p>
            <w:pPr>
              <w:spacing w:after="0" w:line="240" w:lineRule="auto"/>
              <w:jc w:val="center"/>
              <w:rPr>
                <w:rFonts w:ascii="Times New Roman" w:hAnsi="Times New Roman"/>
                <w:sz w:val="20"/>
                <w:szCs w:val="20"/>
              </w:rPr>
            </w:pPr>
            <w:r>
              <w:rPr>
                <w:rFonts w:ascii="Times New Roman" w:hAnsi="Times New Roman"/>
                <w:sz w:val="20"/>
                <w:szCs w:val="20"/>
              </w:rPr>
              <w:t>omni-directional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1585" w:type="dxa"/>
          </w:tcPr>
          <w:p>
            <w:pPr>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DMRS type</w:t>
            </w:r>
          </w:p>
        </w:tc>
        <w:tc>
          <w:tcPr>
            <w:tcW w:w="7830" w:type="dxa"/>
          </w:tcPr>
          <w:p>
            <w:pPr>
              <w:spacing w:after="0" w:line="240" w:lineRule="auto"/>
              <w:jc w:val="center"/>
              <w:rPr>
                <w:rFonts w:ascii="Times New Roman" w:hAnsi="Times New Roman" w:eastAsia="宋体"/>
                <w:sz w:val="20"/>
                <w:szCs w:val="20"/>
              </w:rPr>
            </w:pPr>
            <w:r>
              <w:rPr>
                <w:rFonts w:ascii="Times New Roman" w:hAnsi="Times New Roman" w:eastAsia="宋体"/>
                <w:sz w:val="20"/>
                <w:szCs w:val="20"/>
              </w:rPr>
              <w:t>DM-RS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Number of DMRS symbols</w:t>
            </w:r>
          </w:p>
        </w:tc>
        <w:tc>
          <w:tcPr>
            <w:tcW w:w="7830" w:type="dxa"/>
          </w:tcPr>
          <w:p>
            <w:pPr>
              <w:spacing w:after="0" w:line="240" w:lineRule="auto"/>
              <w:jc w:val="center"/>
              <w:rPr>
                <w:rFonts w:ascii="Times New Roman" w:hAnsi="Times New Roman"/>
                <w:sz w:val="20"/>
                <w:szCs w:val="20"/>
              </w:rPr>
            </w:pPr>
            <w:r>
              <w:rPr>
                <w:rFonts w:ascii="Times New Roman" w:hAnsi="Times New Roman" w:eastAsia="宋体"/>
                <w:sz w:val="20"/>
                <w:szCs w:val="20"/>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MCS</w:t>
            </w:r>
          </w:p>
        </w:tc>
        <w:tc>
          <w:tcPr>
            <w:tcW w:w="7830" w:type="dxa"/>
            <w:vAlign w:val="center"/>
          </w:tcPr>
          <w:p>
            <w:pPr>
              <w:spacing w:after="0" w:line="240" w:lineRule="auto"/>
              <w:jc w:val="center"/>
              <w:rPr>
                <w:rFonts w:ascii="Times New Roman" w:hAnsi="Times New Roman"/>
                <w:sz w:val="20"/>
                <w:szCs w:val="20"/>
              </w:rPr>
            </w:pPr>
            <w:r>
              <w:rPr>
                <w:rFonts w:ascii="Times New Roman" w:hAnsi="Times New Roman"/>
                <w:sz w:val="20"/>
                <w:szCs w:val="20"/>
              </w:rPr>
              <w:t xml:space="preserve"> MCS adaptation</w:t>
            </w:r>
          </w:p>
          <w:p>
            <w:pPr>
              <w:spacing w:after="0" w:line="240" w:lineRule="auto"/>
              <w:jc w:val="center"/>
              <w:rPr>
                <w:rFonts w:ascii="Times New Roman" w:hAnsi="Times New Roman"/>
                <w:sz w:val="20"/>
                <w:szCs w:val="20"/>
              </w:rPr>
            </w:pPr>
            <w:r>
              <w:rPr>
                <w:rFonts w:hint="default" w:ascii="Times New Roman" w:hAnsi="Times New Roman"/>
                <w:sz w:val="20"/>
                <w:szCs w:val="20"/>
              </w:rPr>
              <w:t>16QAM 0.5CR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Number of scheduled RBs</w:t>
            </w:r>
          </w:p>
        </w:tc>
        <w:tc>
          <w:tcPr>
            <w:tcW w:w="7830" w:type="dxa"/>
            <w:vAlign w:val="center"/>
          </w:tcPr>
          <w:p>
            <w:pPr>
              <w:spacing w:after="0" w:line="240" w:lineRule="auto"/>
              <w:jc w:val="center"/>
              <w:rPr>
                <w:rFonts w:ascii="Times New Roman" w:hAnsi="Times New Roman" w:eastAsia="宋体"/>
                <w:sz w:val="20"/>
                <w:szCs w:val="20"/>
              </w:rPr>
            </w:pPr>
            <w:r>
              <w:rPr>
                <w:rFonts w:hint="default" w:ascii="Times New Roman" w:hAnsi="Times New Roman" w:eastAsia="宋体"/>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Propagation condition</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CDL D DS = 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TRS configuration, TRS periodicity</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10ms, 2-slot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PDSCH / PUSCH mapping</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Type A, Start symbol 2, Duration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eastAsia="MS Mincho"/>
                <w:color w:val="000000" w:themeColor="text1"/>
                <w:kern w:val="24"/>
                <w:sz w:val="20"/>
                <w:szCs w:val="20"/>
                <w14:textFill>
                  <w14:solidFill>
                    <w14:schemeClr w14:val="tx1"/>
                  </w14:solidFill>
                </w14:textFill>
              </w:rPr>
            </w:pPr>
            <w:r>
              <w:rPr>
                <w:rFonts w:ascii="Times New Roman" w:hAnsi="Times New Roman" w:eastAsia="MS Mincho"/>
                <w:color w:val="000000" w:themeColor="text1"/>
                <w:kern w:val="24"/>
                <w:sz w:val="20"/>
                <w:szCs w:val="20"/>
                <w14:textFill>
                  <w14:solidFill>
                    <w14:schemeClr w14:val="tx1"/>
                  </w14:solidFill>
                </w14:textFill>
              </w:rPr>
              <w:t>Rank</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Rank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BW</w:t>
            </w:r>
          </w:p>
        </w:tc>
        <w:tc>
          <w:tcPr>
            <w:tcW w:w="7830" w:type="dxa"/>
            <w:vAlign w:val="center"/>
          </w:tcPr>
          <w:p>
            <w:pPr>
              <w:spacing w:after="0" w:line="240" w:lineRule="auto"/>
              <w:jc w:val="center"/>
              <w:rPr>
                <w:rFonts w:ascii="Times New Roman" w:hAnsi="Times New Roman" w:eastAsia="宋体"/>
                <w:sz w:val="20"/>
                <w:szCs w:val="20"/>
              </w:rPr>
            </w:pPr>
            <w:r>
              <w:rPr>
                <w:rFonts w:ascii="Times New Roman" w:hAnsi="Times New Roman" w:eastAsia="宋体"/>
                <w:sz w:val="20"/>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Carrier frequency or maximum Doppler shift</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 xml:space="preserve">3.5GHz, </w:t>
            </w:r>
            <w:r>
              <w:rPr>
                <w:rFonts w:hint="default" w:ascii="Times New Roman" w:hAnsi="Times New Roman" w:eastAsia="宋体"/>
                <w:sz w:val="20"/>
                <w:szCs w:val="20"/>
              </w:rPr>
              <w:t xml:space="preserve">350kmph and </w:t>
            </w:r>
            <w:r>
              <w:rPr>
                <w:rFonts w:ascii="Times New Roman" w:hAnsi="Times New Roman"/>
                <w:sz w:val="20"/>
                <w:szCs w:val="20"/>
              </w:rPr>
              <w:t>500kmph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Performance metric</w:t>
            </w:r>
          </w:p>
        </w:tc>
        <w:tc>
          <w:tcPr>
            <w:tcW w:w="7830" w:type="dxa"/>
          </w:tcPr>
          <w:p>
            <w:pPr>
              <w:spacing w:after="0" w:line="240" w:lineRule="auto"/>
              <w:jc w:val="center"/>
              <w:rPr>
                <w:rFonts w:ascii="Times New Roman" w:hAnsi="Times New Roman" w:eastAsia="宋体"/>
                <w:sz w:val="20"/>
                <w:szCs w:val="20"/>
              </w:rPr>
            </w:pPr>
            <w:r>
              <w:rPr>
                <w:rFonts w:hint="default" w:ascii="Times New Roman" w:hAnsi="Times New Roman" w:eastAsia="宋体"/>
                <w:sz w:val="20"/>
                <w:szCs w:val="20"/>
              </w:rPr>
              <w:t>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5" w:type="dxa"/>
          </w:tcPr>
          <w:p>
            <w:pPr>
              <w:spacing w:after="0" w:line="240" w:lineRule="auto"/>
              <w:rPr>
                <w:rFonts w:ascii="Times New Roman" w:hAnsi="Times New Roman"/>
                <w:sz w:val="20"/>
                <w:szCs w:val="20"/>
              </w:rPr>
            </w:pPr>
            <w:r>
              <w:rPr>
                <w:rFonts w:ascii="Times New Roman" w:hAnsi="Times New Roman"/>
                <w:sz w:val="20"/>
                <w:szCs w:val="20"/>
              </w:rPr>
              <w:t xml:space="preserve">Other assumptions or simulation parameters, e.g., correlation </w:t>
            </w:r>
          </w:p>
        </w:tc>
        <w:tc>
          <w:tcPr>
            <w:tcW w:w="7830" w:type="dxa"/>
          </w:tcPr>
          <w:p>
            <w:pPr>
              <w:spacing w:after="0" w:line="240" w:lineRule="auto"/>
              <w:jc w:val="center"/>
              <w:rPr>
                <w:rFonts w:ascii="Times New Roman" w:hAnsi="Times New Roman"/>
                <w:sz w:val="20"/>
                <w:szCs w:val="20"/>
              </w:rPr>
            </w:pPr>
            <w:r>
              <w:rPr>
                <w:rFonts w:ascii="Times New Roman" w:hAnsi="Times New Roman"/>
                <w:sz w:val="20"/>
                <w:szCs w:val="20"/>
              </w:rPr>
              <w:t>SCS</w:t>
            </w:r>
            <w:r>
              <w:rPr>
                <w:rFonts w:hint="default" w:ascii="Times New Roman" w:hAnsi="Times New Roman"/>
                <w:sz w:val="20"/>
                <w:szCs w:val="20"/>
              </w:rPr>
              <w:t>:</w:t>
            </w:r>
            <w:r>
              <w:rPr>
                <w:rFonts w:ascii="Times New Roman" w:hAnsi="Times New Roman"/>
                <w:sz w:val="20"/>
                <w:szCs w:val="20"/>
              </w:rPr>
              <w:t xml:space="preserve"> 30kHz</w:t>
            </w:r>
          </w:p>
          <w:p>
            <w:pPr>
              <w:spacing w:after="0" w:line="240" w:lineRule="auto"/>
              <w:rPr>
                <w:rFonts w:ascii="Times New Roman" w:hAnsi="Times New Roman"/>
                <w:sz w:val="20"/>
                <w:szCs w:val="20"/>
              </w:rPr>
            </w:pPr>
          </w:p>
        </w:tc>
      </w:tr>
    </w:tbl>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28408BE9"/>
    <w:multiLevelType w:val="singleLevel"/>
    <w:tmpl w:val="28408BE9"/>
    <w:lvl w:ilvl="0" w:tentative="0">
      <w:start w:val="1"/>
      <w:numFmt w:val="bullet"/>
      <w:lvlText w:val=""/>
      <w:lvlJc w:val="left"/>
      <w:pPr>
        <w:ind w:left="420" w:hanging="420"/>
      </w:pPr>
      <w:rPr>
        <w:rFonts w:hint="default" w:ascii="Wingdings" w:hAnsi="Wingdings"/>
      </w:rPr>
    </w:lvl>
  </w:abstractNum>
  <w:abstractNum w:abstractNumId="2">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3">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B53"/>
    <w:rsid w:val="000A0D35"/>
    <w:rsid w:val="000A0E52"/>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231"/>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1FF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367"/>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2C7"/>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BC9"/>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648"/>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31905"/>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3F8458A"/>
    <w:rsid w:val="040205B6"/>
    <w:rsid w:val="040562E0"/>
    <w:rsid w:val="04090A85"/>
    <w:rsid w:val="040B23D6"/>
    <w:rsid w:val="041203F0"/>
    <w:rsid w:val="04132C1A"/>
    <w:rsid w:val="04181433"/>
    <w:rsid w:val="041A619B"/>
    <w:rsid w:val="04215E85"/>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53698"/>
    <w:rsid w:val="07963CE1"/>
    <w:rsid w:val="07996370"/>
    <w:rsid w:val="079B1264"/>
    <w:rsid w:val="079D08EF"/>
    <w:rsid w:val="07A23DBE"/>
    <w:rsid w:val="07A51428"/>
    <w:rsid w:val="07A5163C"/>
    <w:rsid w:val="07A64C98"/>
    <w:rsid w:val="07A94019"/>
    <w:rsid w:val="07AB3A30"/>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545C1F"/>
    <w:rsid w:val="0A570EE2"/>
    <w:rsid w:val="0A5926AF"/>
    <w:rsid w:val="0A5F031D"/>
    <w:rsid w:val="0A5F05AF"/>
    <w:rsid w:val="0A622F1F"/>
    <w:rsid w:val="0A656B4B"/>
    <w:rsid w:val="0A6A17FC"/>
    <w:rsid w:val="0A6E7576"/>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B0491"/>
    <w:rsid w:val="0C1B4521"/>
    <w:rsid w:val="0C2343CE"/>
    <w:rsid w:val="0C287ECF"/>
    <w:rsid w:val="0C293F71"/>
    <w:rsid w:val="0C2D2FE4"/>
    <w:rsid w:val="0C2E6FB6"/>
    <w:rsid w:val="0C304B08"/>
    <w:rsid w:val="0C323823"/>
    <w:rsid w:val="0C353033"/>
    <w:rsid w:val="0C356822"/>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84546"/>
    <w:rsid w:val="0EDB0588"/>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5629F"/>
    <w:rsid w:val="14B04A2F"/>
    <w:rsid w:val="14B3042E"/>
    <w:rsid w:val="14B63D6A"/>
    <w:rsid w:val="14B872BA"/>
    <w:rsid w:val="14BF672C"/>
    <w:rsid w:val="14C209A7"/>
    <w:rsid w:val="14C453B3"/>
    <w:rsid w:val="14C569D9"/>
    <w:rsid w:val="14C65E96"/>
    <w:rsid w:val="14CA27FE"/>
    <w:rsid w:val="14D031DA"/>
    <w:rsid w:val="14D1156B"/>
    <w:rsid w:val="14D1229A"/>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1F1370"/>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D1248"/>
    <w:rsid w:val="1BDE2826"/>
    <w:rsid w:val="1BE05A00"/>
    <w:rsid w:val="1BE60A89"/>
    <w:rsid w:val="1BE81846"/>
    <w:rsid w:val="1BEA07EC"/>
    <w:rsid w:val="1BEA3E5A"/>
    <w:rsid w:val="1BED5DF9"/>
    <w:rsid w:val="1BF00CF9"/>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132ACA"/>
    <w:rsid w:val="1D153CC9"/>
    <w:rsid w:val="1D1E65B8"/>
    <w:rsid w:val="1D1F0A85"/>
    <w:rsid w:val="1D1F5E42"/>
    <w:rsid w:val="1D210A77"/>
    <w:rsid w:val="1D222A1E"/>
    <w:rsid w:val="1D24539A"/>
    <w:rsid w:val="1D2939BE"/>
    <w:rsid w:val="1D2B0F93"/>
    <w:rsid w:val="1D2C04D0"/>
    <w:rsid w:val="1D2E65D9"/>
    <w:rsid w:val="1D2E7C7B"/>
    <w:rsid w:val="1D302980"/>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83579"/>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371E"/>
    <w:rsid w:val="24B37F87"/>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051B3"/>
    <w:rsid w:val="25D242AC"/>
    <w:rsid w:val="25D2700D"/>
    <w:rsid w:val="25D37D50"/>
    <w:rsid w:val="25D67F69"/>
    <w:rsid w:val="25DA3546"/>
    <w:rsid w:val="25DE7808"/>
    <w:rsid w:val="25E327EF"/>
    <w:rsid w:val="25E52DD1"/>
    <w:rsid w:val="25E62027"/>
    <w:rsid w:val="25E6527D"/>
    <w:rsid w:val="25F01888"/>
    <w:rsid w:val="25F35250"/>
    <w:rsid w:val="25F67CD3"/>
    <w:rsid w:val="25FC75AF"/>
    <w:rsid w:val="26034949"/>
    <w:rsid w:val="26040C06"/>
    <w:rsid w:val="260D34D1"/>
    <w:rsid w:val="26164EC4"/>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95870"/>
    <w:rsid w:val="26C95C2B"/>
    <w:rsid w:val="26CC5F73"/>
    <w:rsid w:val="26CE2F0A"/>
    <w:rsid w:val="26CF27C0"/>
    <w:rsid w:val="26CF63D9"/>
    <w:rsid w:val="26CF6823"/>
    <w:rsid w:val="26D07CC0"/>
    <w:rsid w:val="26D62980"/>
    <w:rsid w:val="26D82E82"/>
    <w:rsid w:val="26D9017F"/>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1FF1"/>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B07C3"/>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D2463"/>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725728"/>
    <w:rsid w:val="2F761B45"/>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15BE0"/>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102EF"/>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3FE4281"/>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64AC5"/>
    <w:rsid w:val="35450042"/>
    <w:rsid w:val="35460BDD"/>
    <w:rsid w:val="354621CF"/>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169F6"/>
    <w:rsid w:val="38934508"/>
    <w:rsid w:val="38951ABA"/>
    <w:rsid w:val="389A6219"/>
    <w:rsid w:val="389A7DF3"/>
    <w:rsid w:val="389B3E30"/>
    <w:rsid w:val="389C197D"/>
    <w:rsid w:val="389C6FFC"/>
    <w:rsid w:val="389E103B"/>
    <w:rsid w:val="38A066E6"/>
    <w:rsid w:val="38A25437"/>
    <w:rsid w:val="38A53C7F"/>
    <w:rsid w:val="38A53CD2"/>
    <w:rsid w:val="38A66351"/>
    <w:rsid w:val="38A92D72"/>
    <w:rsid w:val="38AD0FB8"/>
    <w:rsid w:val="38AD4C0A"/>
    <w:rsid w:val="38B044CA"/>
    <w:rsid w:val="38B04511"/>
    <w:rsid w:val="38B46374"/>
    <w:rsid w:val="38BA5014"/>
    <w:rsid w:val="38BA672D"/>
    <w:rsid w:val="38C05CF9"/>
    <w:rsid w:val="38C22308"/>
    <w:rsid w:val="38C31B7A"/>
    <w:rsid w:val="38C449E2"/>
    <w:rsid w:val="38C517E5"/>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535DD"/>
    <w:rsid w:val="3B865EFD"/>
    <w:rsid w:val="3B8A0FE3"/>
    <w:rsid w:val="3B8B274A"/>
    <w:rsid w:val="3B8D0B94"/>
    <w:rsid w:val="3B8D3F60"/>
    <w:rsid w:val="3B90223A"/>
    <w:rsid w:val="3B9A055F"/>
    <w:rsid w:val="3B9C0A2C"/>
    <w:rsid w:val="3BA23EEE"/>
    <w:rsid w:val="3BA50C0C"/>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2060E6"/>
    <w:rsid w:val="3C26110F"/>
    <w:rsid w:val="3C280011"/>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7BD3"/>
    <w:rsid w:val="3DE67F19"/>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84DDE"/>
    <w:rsid w:val="3F4919B8"/>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B02C1"/>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B7550"/>
    <w:rsid w:val="4003101B"/>
    <w:rsid w:val="40040E62"/>
    <w:rsid w:val="400411AB"/>
    <w:rsid w:val="40097ED4"/>
    <w:rsid w:val="400F1A7E"/>
    <w:rsid w:val="4013650D"/>
    <w:rsid w:val="40224723"/>
    <w:rsid w:val="402769AB"/>
    <w:rsid w:val="4029301D"/>
    <w:rsid w:val="40297D18"/>
    <w:rsid w:val="402C7086"/>
    <w:rsid w:val="403403F4"/>
    <w:rsid w:val="4036300F"/>
    <w:rsid w:val="40373485"/>
    <w:rsid w:val="40374A52"/>
    <w:rsid w:val="403A0C68"/>
    <w:rsid w:val="40420FB3"/>
    <w:rsid w:val="40427926"/>
    <w:rsid w:val="404465A7"/>
    <w:rsid w:val="40465DB4"/>
    <w:rsid w:val="404B727B"/>
    <w:rsid w:val="4051638A"/>
    <w:rsid w:val="4053273E"/>
    <w:rsid w:val="40586B1A"/>
    <w:rsid w:val="40592F9A"/>
    <w:rsid w:val="405C46EC"/>
    <w:rsid w:val="40645970"/>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5917F4"/>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736DA"/>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6238A"/>
    <w:rsid w:val="440A5B01"/>
    <w:rsid w:val="440F71F0"/>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51587"/>
    <w:rsid w:val="459709F5"/>
    <w:rsid w:val="45971871"/>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157CB"/>
    <w:rsid w:val="48B3188D"/>
    <w:rsid w:val="48B92E68"/>
    <w:rsid w:val="48BB392F"/>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694F"/>
    <w:rsid w:val="4ADE4335"/>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417217"/>
    <w:rsid w:val="4B426FC8"/>
    <w:rsid w:val="4B4A1E20"/>
    <w:rsid w:val="4B4B77CC"/>
    <w:rsid w:val="4B4F2FCA"/>
    <w:rsid w:val="4B4F3F08"/>
    <w:rsid w:val="4B585189"/>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65120"/>
    <w:rsid w:val="4CE953A1"/>
    <w:rsid w:val="4CE96F6F"/>
    <w:rsid w:val="4CEA05FD"/>
    <w:rsid w:val="4CEC147B"/>
    <w:rsid w:val="4CEE2310"/>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31287B"/>
    <w:rsid w:val="4E357F6B"/>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008EF"/>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E4601"/>
    <w:rsid w:val="53916407"/>
    <w:rsid w:val="539263A1"/>
    <w:rsid w:val="53930D1A"/>
    <w:rsid w:val="5397293F"/>
    <w:rsid w:val="53975570"/>
    <w:rsid w:val="539B4140"/>
    <w:rsid w:val="53A065E4"/>
    <w:rsid w:val="53A1457E"/>
    <w:rsid w:val="53A14C76"/>
    <w:rsid w:val="53A7772A"/>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4A6A"/>
    <w:rsid w:val="54763D33"/>
    <w:rsid w:val="54767E31"/>
    <w:rsid w:val="54781903"/>
    <w:rsid w:val="547F2B1F"/>
    <w:rsid w:val="54873CA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DFF"/>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61BEC"/>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A4F93"/>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211B28"/>
    <w:rsid w:val="5C2446EA"/>
    <w:rsid w:val="5C2A116B"/>
    <w:rsid w:val="5C2C51CA"/>
    <w:rsid w:val="5C2E0ABA"/>
    <w:rsid w:val="5C313602"/>
    <w:rsid w:val="5C324D96"/>
    <w:rsid w:val="5C3A18CA"/>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C657F"/>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4CCA"/>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C017AD"/>
    <w:rsid w:val="5FC142EE"/>
    <w:rsid w:val="5FD763E3"/>
    <w:rsid w:val="5FD7706A"/>
    <w:rsid w:val="5FDA46C8"/>
    <w:rsid w:val="5FDB4F3D"/>
    <w:rsid w:val="5FE10819"/>
    <w:rsid w:val="5FE30BA2"/>
    <w:rsid w:val="5FE6571C"/>
    <w:rsid w:val="5FED0719"/>
    <w:rsid w:val="5FEF04AA"/>
    <w:rsid w:val="5FF27FE4"/>
    <w:rsid w:val="5FF36493"/>
    <w:rsid w:val="5FF85070"/>
    <w:rsid w:val="5FF9333C"/>
    <w:rsid w:val="5FFB474F"/>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C742A"/>
    <w:rsid w:val="607D0570"/>
    <w:rsid w:val="60801EB9"/>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32C4C"/>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30CC1"/>
    <w:rsid w:val="65230E19"/>
    <w:rsid w:val="65260B2E"/>
    <w:rsid w:val="6529782D"/>
    <w:rsid w:val="653A7CE0"/>
    <w:rsid w:val="653F291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E5C26"/>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C7550"/>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A11122C"/>
    <w:rsid w:val="6A145E00"/>
    <w:rsid w:val="6A177B05"/>
    <w:rsid w:val="6A193D7A"/>
    <w:rsid w:val="6A1C022B"/>
    <w:rsid w:val="6A257487"/>
    <w:rsid w:val="6A276108"/>
    <w:rsid w:val="6A2A4ADC"/>
    <w:rsid w:val="6A2A5F02"/>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52730"/>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66B2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1AF"/>
    <w:rsid w:val="6D214E93"/>
    <w:rsid w:val="6D234A39"/>
    <w:rsid w:val="6D262378"/>
    <w:rsid w:val="6D276729"/>
    <w:rsid w:val="6D283EF1"/>
    <w:rsid w:val="6D2D1778"/>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E7C28"/>
    <w:rsid w:val="6DC24B1B"/>
    <w:rsid w:val="6DC616C6"/>
    <w:rsid w:val="6DC822B5"/>
    <w:rsid w:val="6DC869CE"/>
    <w:rsid w:val="6DCA662C"/>
    <w:rsid w:val="6DCB0323"/>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7525B"/>
    <w:rsid w:val="70790154"/>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D0CF0"/>
    <w:rsid w:val="70CD1E07"/>
    <w:rsid w:val="70CD7510"/>
    <w:rsid w:val="70D228D9"/>
    <w:rsid w:val="70D32EE1"/>
    <w:rsid w:val="70D40276"/>
    <w:rsid w:val="70D55703"/>
    <w:rsid w:val="70D8409F"/>
    <w:rsid w:val="70DA2493"/>
    <w:rsid w:val="70DB0024"/>
    <w:rsid w:val="70DC4BC5"/>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B5530"/>
    <w:rsid w:val="75E007CE"/>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2391D"/>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03742"/>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8E6887"/>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22954"/>
    <w:rsid w:val="7CB33312"/>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85DBE"/>
    <w:rsid w:val="7DDA4118"/>
    <w:rsid w:val="7DDE0133"/>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1B98"/>
    <w:rsid w:val="7F614A34"/>
    <w:rsid w:val="7F614D28"/>
    <w:rsid w:val="7F6179F3"/>
    <w:rsid w:val="7F63372A"/>
    <w:rsid w:val="7F642634"/>
    <w:rsid w:val="7F6812CE"/>
    <w:rsid w:val="7F69519A"/>
    <w:rsid w:val="7F70218A"/>
    <w:rsid w:val="7F7514A2"/>
    <w:rsid w:val="7F7D592C"/>
    <w:rsid w:val="7F805AC3"/>
    <w:rsid w:val="7F8649A9"/>
    <w:rsid w:val="7F873895"/>
    <w:rsid w:val="7F891D26"/>
    <w:rsid w:val="7F8A16A6"/>
    <w:rsid w:val="7F8D77FC"/>
    <w:rsid w:val="7F913931"/>
    <w:rsid w:val="7F915207"/>
    <w:rsid w:val="7F960E9D"/>
    <w:rsid w:val="7F98284E"/>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33">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9"/>
    <w:unhideWhenUsed/>
    <w:qFormat/>
    <w:uiPriority w:val="99"/>
    <w:rPr>
      <w:b/>
      <w:bCs/>
    </w:rPr>
  </w:style>
  <w:style w:type="paragraph" w:styleId="13">
    <w:name w:val="annotation text"/>
    <w:basedOn w:val="1"/>
    <w:link w:val="38"/>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1"/>
    <w:unhideWhenUsed/>
    <w:qFormat/>
    <w:uiPriority w:val="99"/>
    <w:rPr>
      <w:rFonts w:ascii="宋体"/>
      <w:sz w:val="18"/>
      <w:szCs w:val="18"/>
    </w:rPr>
  </w:style>
  <w:style w:type="paragraph" w:styleId="17">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4"/>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0"/>
    <w:unhideWhenUsed/>
    <w:qFormat/>
    <w:uiPriority w:val="99"/>
    <w:pPr>
      <w:spacing w:after="0" w:line="240" w:lineRule="auto"/>
    </w:pPr>
    <w:rPr>
      <w:rFonts w:eastAsia="Calibri"/>
      <w:szCs w:val="21"/>
      <w:lang w:val="en-GB" w:eastAsia="en-US"/>
    </w:rPr>
  </w:style>
  <w:style w:type="paragraph" w:styleId="21">
    <w:name w:val="Date"/>
    <w:basedOn w:val="1"/>
    <w:next w:val="1"/>
    <w:link w:val="54"/>
    <w:unhideWhenUsed/>
    <w:qFormat/>
    <w:uiPriority w:val="99"/>
    <w:pPr>
      <w:ind w:left="100" w:leftChars="2500"/>
    </w:pPr>
  </w:style>
  <w:style w:type="paragraph" w:styleId="22">
    <w:name w:val="Balloon Text"/>
    <w:basedOn w:val="1"/>
    <w:link w:val="40"/>
    <w:unhideWhenUsed/>
    <w:qFormat/>
    <w:uiPriority w:val="99"/>
    <w:pPr>
      <w:spacing w:after="0" w:line="240" w:lineRule="auto"/>
    </w:pPr>
    <w:rPr>
      <w:rFonts w:ascii="Tahoma" w:hAnsi="Tahoma"/>
      <w:sz w:val="16"/>
      <w:szCs w:val="16"/>
    </w:rPr>
  </w:style>
  <w:style w:type="paragraph" w:styleId="23">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Strong"/>
    <w:basedOn w:val="27"/>
    <w:qFormat/>
    <w:uiPriority w:val="22"/>
    <w:rPr>
      <w:b/>
    </w:rPr>
  </w:style>
  <w:style w:type="character" w:styleId="29">
    <w:name w:val="page number"/>
    <w:basedOn w:val="27"/>
    <w:unhideWhenUsed/>
    <w:qFormat/>
    <w:uiPriority w:val="99"/>
    <w:rPr>
      <w:rFonts w:hint="default"/>
      <w:sz w:val="24"/>
    </w:rPr>
  </w:style>
  <w:style w:type="character" w:styleId="30">
    <w:name w:val="Emphasis"/>
    <w:basedOn w:val="27"/>
    <w:qFormat/>
    <w:uiPriority w:val="20"/>
    <w:rPr>
      <w:i/>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Heading 1 Char"/>
    <w:link w:val="2"/>
    <w:qFormat/>
    <w:uiPriority w:val="99"/>
    <w:rPr>
      <w:rFonts w:ascii="Arial" w:hAnsi="Arial" w:eastAsia="黑体"/>
      <w:b/>
      <w:bCs/>
      <w:sz w:val="30"/>
      <w:szCs w:val="30"/>
      <w:lang w:val="zh-CN" w:eastAsia="zh-CN"/>
    </w:rPr>
  </w:style>
  <w:style w:type="character" w:customStyle="1" w:styleId="36">
    <w:name w:val="Header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Comment Text Char"/>
    <w:basedOn w:val="27"/>
    <w:link w:val="13"/>
    <w:qFormat/>
    <w:uiPriority w:val="99"/>
  </w:style>
  <w:style w:type="character" w:customStyle="1" w:styleId="39">
    <w:name w:val="Comment Subject Char"/>
    <w:link w:val="12"/>
    <w:semiHidden/>
    <w:qFormat/>
    <w:uiPriority w:val="99"/>
    <w:rPr>
      <w:b/>
      <w:bCs/>
    </w:rPr>
  </w:style>
  <w:style w:type="character" w:customStyle="1" w:styleId="40">
    <w:name w:val="Balloon Text Char"/>
    <w:link w:val="22"/>
    <w:semiHidden/>
    <w:qFormat/>
    <w:uiPriority w:val="99"/>
    <w:rPr>
      <w:rFonts w:ascii="Tahoma" w:hAnsi="Tahoma" w:cs="Tahoma"/>
      <w:sz w:val="16"/>
      <w:szCs w:val="16"/>
    </w:rPr>
  </w:style>
  <w:style w:type="character" w:customStyle="1" w:styleId="41">
    <w:name w:val="Document Map Char"/>
    <w:link w:val="16"/>
    <w:semiHidden/>
    <w:qFormat/>
    <w:uiPriority w:val="99"/>
    <w:rPr>
      <w:rFonts w:ascii="宋体"/>
      <w:sz w:val="18"/>
      <w:szCs w:val="18"/>
    </w:rPr>
  </w:style>
  <w:style w:type="character" w:customStyle="1" w:styleId="42">
    <w:name w:val="Body Text Char"/>
    <w:link w:val="17"/>
    <w:qFormat/>
    <w:uiPriority w:val="0"/>
    <w:rPr>
      <w:rFonts w:ascii="Times New Roman" w:hAnsi="Times New Roman"/>
      <w:color w:val="0000FF"/>
      <w:kern w:val="2"/>
      <w:sz w:val="21"/>
    </w:rPr>
  </w:style>
  <w:style w:type="character" w:customStyle="1" w:styleId="43">
    <w:name w:val="Caption Char"/>
    <w:link w:val="15"/>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Footer Char"/>
    <w:link w:val="23"/>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7"/>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1"/>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7"/>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20"/>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7"/>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7"/>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7"/>
    <w:link w:val="18"/>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4"/>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5"/>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2" Type="http://schemas.openxmlformats.org/officeDocument/2006/relationships/fontTable" Target="fontTable.xml"/><Relationship Id="rId71" Type="http://schemas.openxmlformats.org/officeDocument/2006/relationships/customXml" Target="../customXml/item2.xml"/><Relationship Id="rId70" Type="http://schemas.openxmlformats.org/officeDocument/2006/relationships/numbering" Target="numbering.xml"/><Relationship Id="rId7" Type="http://schemas.openxmlformats.org/officeDocument/2006/relationships/oleObject" Target="embeddings/oleObject2.bin"/><Relationship Id="rId69" Type="http://schemas.openxmlformats.org/officeDocument/2006/relationships/customXml" Target="../customXml/item1.xml"/><Relationship Id="rId68" Type="http://schemas.openxmlformats.org/officeDocument/2006/relationships/image" Target="media/image36.emf"/><Relationship Id="rId67" Type="http://schemas.openxmlformats.org/officeDocument/2006/relationships/image" Target="media/image35.emf"/><Relationship Id="rId66" Type="http://schemas.openxmlformats.org/officeDocument/2006/relationships/image" Target="media/image34.emf"/><Relationship Id="rId65" Type="http://schemas.openxmlformats.org/officeDocument/2006/relationships/image" Target="media/image33.png"/><Relationship Id="rId64" Type="http://schemas.openxmlformats.org/officeDocument/2006/relationships/image" Target="media/image32.wmf"/><Relationship Id="rId63" Type="http://schemas.openxmlformats.org/officeDocument/2006/relationships/oleObject" Target="embeddings/oleObject28.bin"/><Relationship Id="rId62" Type="http://schemas.openxmlformats.org/officeDocument/2006/relationships/oleObject" Target="embeddings/oleObject27.bin"/><Relationship Id="rId61" Type="http://schemas.openxmlformats.org/officeDocument/2006/relationships/image" Target="media/image31.wmf"/><Relationship Id="rId60" Type="http://schemas.openxmlformats.org/officeDocument/2006/relationships/oleObject" Target="embeddings/oleObject26.bin"/><Relationship Id="rId6" Type="http://schemas.openxmlformats.org/officeDocument/2006/relationships/image" Target="media/image1.wmf"/><Relationship Id="rId59" Type="http://schemas.openxmlformats.org/officeDocument/2006/relationships/image" Target="media/image30.wmf"/><Relationship Id="rId58" Type="http://schemas.openxmlformats.org/officeDocument/2006/relationships/oleObject" Target="embeddings/oleObject25.bin"/><Relationship Id="rId57" Type="http://schemas.openxmlformats.org/officeDocument/2006/relationships/image" Target="media/image29.wmf"/><Relationship Id="rId56" Type="http://schemas.openxmlformats.org/officeDocument/2006/relationships/oleObject" Target="embeddings/oleObject24.bin"/><Relationship Id="rId55" Type="http://schemas.openxmlformats.org/officeDocument/2006/relationships/image" Target="media/image28.wmf"/><Relationship Id="rId54" Type="http://schemas.openxmlformats.org/officeDocument/2006/relationships/oleObject" Target="embeddings/oleObject23.bin"/><Relationship Id="rId53" Type="http://schemas.openxmlformats.org/officeDocument/2006/relationships/image" Target="media/image27.emf"/><Relationship Id="rId52" Type="http://schemas.openxmlformats.org/officeDocument/2006/relationships/image" Target="media/image26.emf"/><Relationship Id="rId51" Type="http://schemas.openxmlformats.org/officeDocument/2006/relationships/image" Target="media/image25.emf"/><Relationship Id="rId50" Type="http://schemas.openxmlformats.org/officeDocument/2006/relationships/image" Target="media/image24.jpeg"/><Relationship Id="rId5" Type="http://schemas.openxmlformats.org/officeDocument/2006/relationships/oleObject" Target="embeddings/oleObject1.bin"/><Relationship Id="rId49" Type="http://schemas.openxmlformats.org/officeDocument/2006/relationships/image" Target="media/image23.wmf"/><Relationship Id="rId48" Type="http://schemas.openxmlformats.org/officeDocument/2006/relationships/oleObject" Target="embeddings/oleObject22.bin"/><Relationship Id="rId47" Type="http://schemas.openxmlformats.org/officeDocument/2006/relationships/image" Target="media/image22.wmf"/><Relationship Id="rId46" Type="http://schemas.openxmlformats.org/officeDocument/2006/relationships/oleObject" Target="embeddings/oleObject21.bin"/><Relationship Id="rId45" Type="http://schemas.openxmlformats.org/officeDocument/2006/relationships/image" Target="media/image21.wmf"/><Relationship Id="rId44" Type="http://schemas.openxmlformats.org/officeDocument/2006/relationships/oleObject" Target="embeddings/oleObject20.bin"/><Relationship Id="rId43" Type="http://schemas.openxmlformats.org/officeDocument/2006/relationships/image" Target="media/image20.wmf"/><Relationship Id="rId42" Type="http://schemas.openxmlformats.org/officeDocument/2006/relationships/oleObject" Target="embeddings/oleObject19.bin"/><Relationship Id="rId41" Type="http://schemas.openxmlformats.org/officeDocument/2006/relationships/image" Target="media/image19.wmf"/><Relationship Id="rId40" Type="http://schemas.openxmlformats.org/officeDocument/2006/relationships/oleObject" Target="embeddings/oleObject18.bin"/><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oleObject" Target="embeddings/oleObject17.bin"/><Relationship Id="rId37" Type="http://schemas.openxmlformats.org/officeDocument/2006/relationships/image" Target="media/image17.wmf"/><Relationship Id="rId36" Type="http://schemas.openxmlformats.org/officeDocument/2006/relationships/oleObject" Target="embeddings/oleObject16.bin"/><Relationship Id="rId35" Type="http://schemas.openxmlformats.org/officeDocument/2006/relationships/image" Target="media/image16.wmf"/><Relationship Id="rId34" Type="http://schemas.openxmlformats.org/officeDocument/2006/relationships/oleObject" Target="embeddings/oleObject15.bin"/><Relationship Id="rId33" Type="http://schemas.openxmlformats.org/officeDocument/2006/relationships/image" Target="media/image15.wmf"/><Relationship Id="rId32" Type="http://schemas.openxmlformats.org/officeDocument/2006/relationships/oleObject" Target="embeddings/oleObject14.bin"/><Relationship Id="rId31" Type="http://schemas.openxmlformats.org/officeDocument/2006/relationships/image" Target="media/image14.wmf"/><Relationship Id="rId30" Type="http://schemas.openxmlformats.org/officeDocument/2006/relationships/oleObject" Target="embeddings/oleObject13.bin"/><Relationship Id="rId3" Type="http://schemas.openxmlformats.org/officeDocument/2006/relationships/footer" Target="footer1.xml"/><Relationship Id="rId29" Type="http://schemas.openxmlformats.org/officeDocument/2006/relationships/image" Target="media/image13.wmf"/><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oleObject" Target="embeddings/oleObject11.bin"/><Relationship Id="rId25" Type="http://schemas.openxmlformats.org/officeDocument/2006/relationships/image" Target="media/image11.wmf"/><Relationship Id="rId24" Type="http://schemas.openxmlformats.org/officeDocument/2006/relationships/oleObject" Target="embeddings/oleObject10.bin"/><Relationship Id="rId23" Type="http://schemas.openxmlformats.org/officeDocument/2006/relationships/image" Target="media/image10.jpeg"/><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7DD65-247D-4013-8119-0103C86A9E5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1905</Words>
  <Characters>10865</Characters>
  <Lines>90</Lines>
  <Paragraphs>25</Paragraphs>
  <TotalTime>4</TotalTime>
  <ScaleCrop>false</ScaleCrop>
  <LinksUpToDate>false</LinksUpToDate>
  <CharactersWithSpaces>12745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2020-08-07T05:53:07Z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